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2B" w:rsidRPr="00A95BA9" w:rsidRDefault="00530DF2" w:rsidP="004B572B">
      <w:pPr>
        <w:tabs>
          <w:tab w:val="left" w:pos="6660"/>
        </w:tabs>
        <w:ind w:right="2632"/>
        <w:rPr>
          <w:rFonts w:ascii="Arial" w:hAnsi="Arial" w:cs="Arial"/>
          <w:b/>
          <w:sz w:val="32"/>
          <w:szCs w:val="32"/>
        </w:rPr>
      </w:pPr>
      <w:r w:rsidRPr="00A95BA9">
        <w:rPr>
          <w:rFonts w:ascii="Arial" w:hAnsi="Arial" w:cs="Arial"/>
          <w:b/>
          <w:noProof/>
          <w:sz w:val="32"/>
          <w:szCs w:val="32"/>
        </w:rPr>
        <w:drawing>
          <wp:anchor distT="0" distB="0" distL="114300" distR="114300" simplePos="0" relativeHeight="251663360" behindDoc="0" locked="0" layoutInCell="1" allowOverlap="1">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A95BA9">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rsidR="004B572B" w:rsidRPr="00A95BA9" w:rsidRDefault="004B572B" w:rsidP="004B572B">
      <w:pPr>
        <w:tabs>
          <w:tab w:val="left" w:pos="6660"/>
        </w:tabs>
        <w:ind w:right="2632"/>
        <w:rPr>
          <w:rFonts w:ascii="Arial" w:hAnsi="Arial" w:cs="Arial"/>
          <w:b/>
          <w:sz w:val="32"/>
          <w:szCs w:val="32"/>
        </w:rPr>
      </w:pPr>
    </w:p>
    <w:p w:rsidR="004B572B" w:rsidRPr="00A95BA9" w:rsidRDefault="004B572B" w:rsidP="004B572B">
      <w:pPr>
        <w:tabs>
          <w:tab w:val="left" w:pos="6660"/>
        </w:tabs>
        <w:ind w:right="2632"/>
        <w:rPr>
          <w:rFonts w:ascii="Arial" w:hAnsi="Arial" w:cs="Arial"/>
          <w:b/>
          <w:sz w:val="32"/>
          <w:szCs w:val="32"/>
        </w:rPr>
      </w:pPr>
    </w:p>
    <w:p w:rsidR="004B572B" w:rsidRPr="00A95BA9" w:rsidRDefault="004B572B" w:rsidP="004B572B">
      <w:pPr>
        <w:tabs>
          <w:tab w:val="left" w:pos="6660"/>
        </w:tabs>
        <w:ind w:right="2632"/>
        <w:rPr>
          <w:rFonts w:ascii="Arial" w:hAnsi="Arial" w:cs="Arial"/>
          <w:b/>
          <w:sz w:val="32"/>
          <w:szCs w:val="32"/>
        </w:rPr>
      </w:pPr>
    </w:p>
    <w:p w:rsidR="00530DF2" w:rsidRPr="00A95BA9" w:rsidRDefault="00530DF2" w:rsidP="009A0B91">
      <w:pPr>
        <w:tabs>
          <w:tab w:val="left" w:pos="6660"/>
        </w:tabs>
        <w:ind w:right="1135"/>
        <w:rPr>
          <w:rFonts w:ascii="Arial" w:hAnsi="Arial" w:cs="Arial"/>
          <w:b/>
          <w:sz w:val="32"/>
          <w:szCs w:val="32"/>
        </w:rPr>
      </w:pPr>
    </w:p>
    <w:p w:rsidR="00530DF2" w:rsidRPr="00A95BA9" w:rsidRDefault="00530DF2" w:rsidP="004B572B">
      <w:pPr>
        <w:tabs>
          <w:tab w:val="left" w:pos="6660"/>
        </w:tabs>
        <w:ind w:right="2632"/>
        <w:rPr>
          <w:rFonts w:ascii="Arial" w:hAnsi="Arial" w:cs="Arial"/>
          <w:b/>
          <w:sz w:val="32"/>
          <w:szCs w:val="32"/>
        </w:rPr>
      </w:pPr>
    </w:p>
    <w:p w:rsidR="002B56E8" w:rsidRPr="00A95BA9" w:rsidRDefault="002B56E8" w:rsidP="0001633D">
      <w:pPr>
        <w:tabs>
          <w:tab w:val="left" w:pos="6660"/>
        </w:tabs>
        <w:spacing w:after="120" w:line="300" w:lineRule="exact"/>
        <w:ind w:right="1134"/>
        <w:jc w:val="both"/>
        <w:rPr>
          <w:rFonts w:ascii="Arial" w:hAnsi="Arial" w:cs="Arial"/>
          <w:b/>
          <w:sz w:val="32"/>
          <w:szCs w:val="32"/>
        </w:rPr>
      </w:pPr>
    </w:p>
    <w:p w:rsidR="00DB2CEC" w:rsidRPr="00A95BA9" w:rsidRDefault="00DB2CEC" w:rsidP="00DB2CEC">
      <w:pPr>
        <w:tabs>
          <w:tab w:val="left" w:pos="3206"/>
        </w:tabs>
        <w:spacing w:after="120" w:line="300" w:lineRule="exact"/>
        <w:ind w:right="1134"/>
        <w:jc w:val="both"/>
        <w:rPr>
          <w:rFonts w:ascii="Arial" w:hAnsi="Arial" w:cs="Arial"/>
          <w:b/>
          <w:sz w:val="32"/>
          <w:szCs w:val="32"/>
        </w:rPr>
      </w:pPr>
    </w:p>
    <w:p w:rsidR="005F66E3" w:rsidRPr="00A95BA9" w:rsidRDefault="00E712FA" w:rsidP="0001633D">
      <w:pPr>
        <w:tabs>
          <w:tab w:val="left" w:pos="6660"/>
        </w:tabs>
        <w:spacing w:after="120" w:line="300" w:lineRule="exact"/>
        <w:ind w:right="1134"/>
        <w:jc w:val="both"/>
        <w:rPr>
          <w:rFonts w:ascii="Arial" w:hAnsi="Arial" w:cs="Arial"/>
          <w:b/>
          <w:sz w:val="32"/>
          <w:szCs w:val="32"/>
        </w:rPr>
      </w:pPr>
      <w:r w:rsidRPr="00A95BA9">
        <w:rPr>
          <w:rFonts w:ascii="Arial" w:hAnsi="Arial" w:cs="Arial"/>
          <w:b/>
          <w:sz w:val="32"/>
          <w:szCs w:val="32"/>
        </w:rPr>
        <w:t>Deutscher Heimti</w:t>
      </w:r>
      <w:r w:rsidR="006A37EE" w:rsidRPr="00A95BA9">
        <w:rPr>
          <w:rFonts w:ascii="Arial" w:hAnsi="Arial" w:cs="Arial"/>
          <w:b/>
          <w:sz w:val="32"/>
          <w:szCs w:val="32"/>
        </w:rPr>
        <w:t>ermarkt</w:t>
      </w:r>
      <w:r w:rsidR="009B63CD" w:rsidRPr="00A95BA9">
        <w:rPr>
          <w:rFonts w:ascii="Arial" w:hAnsi="Arial" w:cs="Arial"/>
          <w:b/>
          <w:sz w:val="32"/>
          <w:szCs w:val="32"/>
        </w:rPr>
        <w:t xml:space="preserve"> 201</w:t>
      </w:r>
      <w:r w:rsidR="00813314" w:rsidRPr="00A95BA9">
        <w:rPr>
          <w:rFonts w:ascii="Arial" w:hAnsi="Arial" w:cs="Arial"/>
          <w:b/>
          <w:sz w:val="32"/>
          <w:szCs w:val="32"/>
        </w:rPr>
        <w:t>8</w:t>
      </w:r>
      <w:r w:rsidR="009B63CD" w:rsidRPr="00A95BA9">
        <w:rPr>
          <w:rFonts w:ascii="Arial" w:hAnsi="Arial" w:cs="Arial"/>
          <w:b/>
          <w:sz w:val="32"/>
          <w:szCs w:val="32"/>
        </w:rPr>
        <w:t xml:space="preserve"> mit Umsatzplus</w:t>
      </w:r>
    </w:p>
    <w:p w:rsidR="007376A2" w:rsidRPr="00A95BA9" w:rsidRDefault="009B63CD" w:rsidP="007E19E6">
      <w:pPr>
        <w:tabs>
          <w:tab w:val="left" w:pos="6660"/>
        </w:tabs>
        <w:spacing w:line="300" w:lineRule="exact"/>
        <w:ind w:right="1134"/>
        <w:rPr>
          <w:rFonts w:ascii="Arial" w:hAnsi="Arial" w:cs="Arial"/>
          <w:b/>
          <w:sz w:val="32"/>
          <w:szCs w:val="32"/>
        </w:rPr>
      </w:pPr>
      <w:r w:rsidRPr="00A95BA9">
        <w:rPr>
          <w:rFonts w:ascii="Arial" w:hAnsi="Arial" w:cs="Arial"/>
          <w:b/>
          <w:sz w:val="28"/>
          <w:szCs w:val="28"/>
        </w:rPr>
        <w:t xml:space="preserve">Wachstumstrend des Vorjahres </w:t>
      </w:r>
      <w:r w:rsidR="00813314" w:rsidRPr="00A95BA9">
        <w:rPr>
          <w:rFonts w:ascii="Arial" w:hAnsi="Arial" w:cs="Arial"/>
          <w:b/>
          <w:sz w:val="28"/>
          <w:szCs w:val="28"/>
        </w:rPr>
        <w:t xml:space="preserve">wird </w:t>
      </w:r>
      <w:r w:rsidRPr="00A95BA9">
        <w:rPr>
          <w:rFonts w:ascii="Arial" w:hAnsi="Arial" w:cs="Arial"/>
          <w:b/>
          <w:sz w:val="28"/>
          <w:szCs w:val="28"/>
        </w:rPr>
        <w:t xml:space="preserve">fortgesetzt – Heimtierpopulation hält </w:t>
      </w:r>
      <w:r w:rsidR="00813314" w:rsidRPr="00A95BA9">
        <w:rPr>
          <w:rFonts w:ascii="Arial" w:hAnsi="Arial" w:cs="Arial"/>
          <w:b/>
          <w:sz w:val="28"/>
          <w:szCs w:val="28"/>
        </w:rPr>
        <w:t xml:space="preserve">weiterhin </w:t>
      </w:r>
      <w:r w:rsidRPr="00A95BA9">
        <w:rPr>
          <w:rFonts w:ascii="Arial" w:hAnsi="Arial" w:cs="Arial"/>
          <w:b/>
          <w:sz w:val="28"/>
          <w:szCs w:val="28"/>
        </w:rPr>
        <w:t>hohes Niveau</w:t>
      </w:r>
    </w:p>
    <w:p w:rsidR="007376A2" w:rsidRPr="00A95BA9" w:rsidRDefault="007376A2" w:rsidP="007376A2">
      <w:pPr>
        <w:spacing w:line="300" w:lineRule="exact"/>
        <w:ind w:right="1134"/>
        <w:jc w:val="both"/>
        <w:rPr>
          <w:rFonts w:ascii="Arial" w:hAnsi="Arial" w:cs="Arial"/>
          <w:b/>
          <w:sz w:val="22"/>
          <w:szCs w:val="22"/>
        </w:rPr>
      </w:pPr>
    </w:p>
    <w:p w:rsidR="001F52F2" w:rsidRDefault="00CC71C2" w:rsidP="00636DED">
      <w:pPr>
        <w:spacing w:before="120" w:after="120" w:line="300" w:lineRule="exact"/>
        <w:ind w:right="1134"/>
        <w:jc w:val="both"/>
        <w:rPr>
          <w:rFonts w:ascii="Arial" w:hAnsi="Arial" w:cs="Arial"/>
          <w:b/>
          <w:sz w:val="22"/>
          <w:szCs w:val="22"/>
        </w:rPr>
      </w:pPr>
      <w:r w:rsidRPr="00A95BA9">
        <w:rPr>
          <w:rFonts w:ascii="Arial" w:hAnsi="Arial" w:cs="Arial"/>
          <w:i/>
          <w:sz w:val="22"/>
          <w:szCs w:val="22"/>
        </w:rPr>
        <w:t xml:space="preserve">Düsseldorf/Wiesbaden, </w:t>
      </w:r>
      <w:r w:rsidR="002954ED">
        <w:rPr>
          <w:rFonts w:ascii="Arial" w:hAnsi="Arial" w:cs="Arial"/>
          <w:i/>
          <w:sz w:val="22"/>
          <w:szCs w:val="22"/>
        </w:rPr>
        <w:t>9</w:t>
      </w:r>
      <w:r w:rsidR="000418C7" w:rsidRPr="00A95BA9">
        <w:rPr>
          <w:rFonts w:ascii="Arial" w:hAnsi="Arial" w:cs="Arial"/>
          <w:i/>
          <w:sz w:val="22"/>
          <w:szCs w:val="22"/>
        </w:rPr>
        <w:t>.</w:t>
      </w:r>
      <w:r w:rsidR="00DB2CEC" w:rsidRPr="00A95BA9">
        <w:rPr>
          <w:rFonts w:ascii="Arial" w:hAnsi="Arial" w:cs="Arial"/>
          <w:i/>
          <w:sz w:val="22"/>
          <w:szCs w:val="22"/>
        </w:rPr>
        <w:t xml:space="preserve"> </w:t>
      </w:r>
      <w:r w:rsidR="00ED221C" w:rsidRPr="00A95BA9">
        <w:rPr>
          <w:rFonts w:ascii="Arial" w:hAnsi="Arial" w:cs="Arial"/>
          <w:i/>
          <w:sz w:val="22"/>
          <w:szCs w:val="22"/>
        </w:rPr>
        <w:t xml:space="preserve">Mai </w:t>
      </w:r>
      <w:r w:rsidRPr="00A95BA9">
        <w:rPr>
          <w:rFonts w:ascii="Arial" w:hAnsi="Arial" w:cs="Arial"/>
          <w:i/>
          <w:sz w:val="22"/>
          <w:szCs w:val="22"/>
        </w:rPr>
        <w:t>201</w:t>
      </w:r>
      <w:r w:rsidR="00813314" w:rsidRPr="00A95BA9">
        <w:rPr>
          <w:rFonts w:ascii="Arial" w:hAnsi="Arial" w:cs="Arial"/>
          <w:i/>
          <w:sz w:val="22"/>
          <w:szCs w:val="22"/>
        </w:rPr>
        <w:t>9</w:t>
      </w:r>
      <w:r w:rsidRPr="00A95BA9">
        <w:rPr>
          <w:rFonts w:ascii="Arial" w:hAnsi="Arial" w:cs="Arial"/>
          <w:i/>
          <w:sz w:val="22"/>
          <w:szCs w:val="22"/>
        </w:rPr>
        <w:t>.</w:t>
      </w:r>
      <w:r w:rsidRPr="00A95BA9">
        <w:rPr>
          <w:rFonts w:ascii="Arial" w:hAnsi="Arial" w:cs="Arial"/>
          <w:b/>
          <w:sz w:val="22"/>
          <w:szCs w:val="22"/>
        </w:rPr>
        <w:t xml:space="preserve"> </w:t>
      </w:r>
      <w:r w:rsidR="001F52F2">
        <w:rPr>
          <w:rFonts w:ascii="Arial" w:hAnsi="Arial" w:cs="Arial"/>
          <w:b/>
          <w:sz w:val="22"/>
          <w:szCs w:val="22"/>
        </w:rPr>
        <w:t xml:space="preserve">Ein Gesamtumsatz von 4,223 Milliarden Euro im Fach- und Lebensmitteleinzelhandel und somit ein Umsatzplus von 1,5 Prozent, das ist die Bilanz der deutschen Heimtierbranche im Jahr 2018. Hinzu kamen 625 Millionen Euro über den Online-Markt sowie 100 Millionen Euro für Wildvogelfutter. </w:t>
      </w:r>
      <w:r w:rsidR="001F52F2" w:rsidRPr="003A2F74">
        <w:rPr>
          <w:rFonts w:ascii="Arial" w:hAnsi="Arial" w:cs="Arial"/>
          <w:b/>
          <w:sz w:val="22"/>
          <w:szCs w:val="22"/>
        </w:rPr>
        <w:t>Mit den so erzielten insgesamt 4</w:t>
      </w:r>
      <w:r w:rsidR="001F52F2">
        <w:rPr>
          <w:rFonts w:ascii="Arial" w:hAnsi="Arial" w:cs="Arial"/>
          <w:b/>
          <w:sz w:val="22"/>
          <w:szCs w:val="22"/>
        </w:rPr>
        <w:t>,948</w:t>
      </w:r>
      <w:r w:rsidR="001F52F2" w:rsidRPr="003A2F74">
        <w:rPr>
          <w:rFonts w:ascii="Arial" w:hAnsi="Arial" w:cs="Arial"/>
          <w:b/>
          <w:sz w:val="22"/>
          <w:szCs w:val="22"/>
        </w:rPr>
        <w:t> Milliarden Euro hält die Branche das</w:t>
      </w:r>
      <w:r w:rsidR="001F52F2">
        <w:rPr>
          <w:rFonts w:ascii="Arial" w:hAnsi="Arial" w:cs="Arial"/>
          <w:b/>
          <w:sz w:val="22"/>
          <w:szCs w:val="22"/>
        </w:rPr>
        <w:t xml:space="preserve"> hohe Umsatzniveau der Vorjahre und entwickelt sich weiterhin positiv.</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Der Umsatz mit „Heimtier-Fertignahrung“ im Fach- und Lebensmitteleinzelhandel übertraf das Ergebnis aus dem Jahr 2017 mit </w:t>
      </w:r>
      <w:r w:rsidRPr="00ED42A9">
        <w:rPr>
          <w:rFonts w:ascii="Arial" w:hAnsi="Arial" w:cs="Arial"/>
          <w:sz w:val="22"/>
          <w:szCs w:val="22"/>
        </w:rPr>
        <w:t>3</w:t>
      </w:r>
      <w:r w:rsidR="00ED42A9" w:rsidRPr="00ED42A9">
        <w:rPr>
          <w:rFonts w:ascii="Arial" w:hAnsi="Arial" w:cs="Arial"/>
          <w:sz w:val="22"/>
          <w:szCs w:val="22"/>
        </w:rPr>
        <w:t>,</w:t>
      </w:r>
      <w:r w:rsidRPr="00ED42A9">
        <w:rPr>
          <w:rFonts w:ascii="Arial" w:hAnsi="Arial" w:cs="Arial"/>
          <w:sz w:val="22"/>
          <w:szCs w:val="22"/>
        </w:rPr>
        <w:t>2</w:t>
      </w:r>
      <w:r w:rsidR="0054696D" w:rsidRPr="00ED42A9">
        <w:rPr>
          <w:rFonts w:ascii="Arial" w:hAnsi="Arial" w:cs="Arial"/>
          <w:sz w:val="22"/>
          <w:szCs w:val="22"/>
        </w:rPr>
        <w:t>26</w:t>
      </w:r>
      <w:r w:rsidRPr="00ED42A9">
        <w:rPr>
          <w:rFonts w:ascii="Arial" w:hAnsi="Arial" w:cs="Arial"/>
          <w:sz w:val="22"/>
          <w:szCs w:val="22"/>
        </w:rPr>
        <w:t> Mi</w:t>
      </w:r>
      <w:r w:rsidR="00ED42A9" w:rsidRPr="00ED42A9">
        <w:rPr>
          <w:rFonts w:ascii="Arial" w:hAnsi="Arial" w:cs="Arial"/>
          <w:sz w:val="22"/>
          <w:szCs w:val="22"/>
        </w:rPr>
        <w:t>lliarden</w:t>
      </w:r>
      <w:r w:rsidRPr="00ED42A9">
        <w:rPr>
          <w:rFonts w:ascii="Arial" w:hAnsi="Arial" w:cs="Arial"/>
          <w:sz w:val="22"/>
          <w:szCs w:val="22"/>
        </w:rPr>
        <w:t xml:space="preserve"> Euro</w:t>
      </w:r>
      <w:r w:rsidRPr="00A95BA9">
        <w:rPr>
          <w:rFonts w:ascii="Arial" w:hAnsi="Arial" w:cs="Arial"/>
          <w:sz w:val="22"/>
          <w:szCs w:val="22"/>
        </w:rPr>
        <w:t xml:space="preserve"> um </w:t>
      </w:r>
      <w:r w:rsidR="0054696D" w:rsidRPr="00A95BA9">
        <w:rPr>
          <w:rFonts w:ascii="Arial" w:hAnsi="Arial" w:cs="Arial"/>
          <w:sz w:val="22"/>
          <w:szCs w:val="22"/>
        </w:rPr>
        <w:t>1,7</w:t>
      </w:r>
      <w:r w:rsidRPr="00A95BA9">
        <w:rPr>
          <w:rFonts w:ascii="Arial" w:hAnsi="Arial" w:cs="Arial"/>
          <w:sz w:val="22"/>
          <w:szCs w:val="22"/>
        </w:rPr>
        <w:t xml:space="preserve"> Prozent und blieb somit auf konstantem Niveau. Das Segment „Bedarfsartikel und Zubehör“ </w:t>
      </w:r>
      <w:r w:rsidR="0054696D" w:rsidRPr="00A95BA9">
        <w:rPr>
          <w:rFonts w:ascii="Arial" w:hAnsi="Arial" w:cs="Arial"/>
          <w:sz w:val="22"/>
          <w:szCs w:val="22"/>
        </w:rPr>
        <w:t xml:space="preserve">legte wie schon im Vorjahreszeitraum </w:t>
      </w:r>
      <w:r w:rsidR="008B42B8" w:rsidRPr="00A95BA9">
        <w:rPr>
          <w:rFonts w:ascii="Arial" w:hAnsi="Arial" w:cs="Arial"/>
          <w:sz w:val="22"/>
          <w:szCs w:val="22"/>
        </w:rPr>
        <w:t xml:space="preserve">im stationären Handel </w:t>
      </w:r>
      <w:r w:rsidR="0054696D" w:rsidRPr="00A95BA9">
        <w:rPr>
          <w:rFonts w:ascii="Arial" w:hAnsi="Arial" w:cs="Arial"/>
          <w:sz w:val="22"/>
          <w:szCs w:val="22"/>
        </w:rPr>
        <w:t xml:space="preserve">zu und verzeichnete mit einem Umsatz von </w:t>
      </w:r>
      <w:r w:rsidRPr="00A95BA9">
        <w:rPr>
          <w:rFonts w:ascii="Arial" w:hAnsi="Arial" w:cs="Arial"/>
          <w:sz w:val="22"/>
          <w:szCs w:val="22"/>
        </w:rPr>
        <w:t>9</w:t>
      </w:r>
      <w:r w:rsidR="00917BCF" w:rsidRPr="00A95BA9">
        <w:rPr>
          <w:rFonts w:ascii="Arial" w:hAnsi="Arial" w:cs="Arial"/>
          <w:sz w:val="22"/>
          <w:szCs w:val="22"/>
        </w:rPr>
        <w:t>97</w:t>
      </w:r>
      <w:r w:rsidRPr="00A95BA9">
        <w:rPr>
          <w:rFonts w:ascii="Arial" w:hAnsi="Arial" w:cs="Arial"/>
          <w:sz w:val="22"/>
          <w:szCs w:val="22"/>
        </w:rPr>
        <w:t xml:space="preserve"> Millionen Euro ein </w:t>
      </w:r>
      <w:r w:rsidR="0054696D" w:rsidRPr="00A95BA9">
        <w:rPr>
          <w:rFonts w:ascii="Arial" w:hAnsi="Arial" w:cs="Arial"/>
          <w:sz w:val="22"/>
          <w:szCs w:val="22"/>
        </w:rPr>
        <w:t>Plus</w:t>
      </w:r>
      <w:r w:rsidRPr="00A95BA9">
        <w:rPr>
          <w:rFonts w:ascii="Arial" w:hAnsi="Arial" w:cs="Arial"/>
          <w:sz w:val="22"/>
          <w:szCs w:val="22"/>
        </w:rPr>
        <w:t xml:space="preserve"> von </w:t>
      </w:r>
      <w:r w:rsidR="00917BCF" w:rsidRPr="00A95BA9">
        <w:rPr>
          <w:rFonts w:ascii="Arial" w:hAnsi="Arial" w:cs="Arial"/>
          <w:sz w:val="22"/>
          <w:szCs w:val="22"/>
        </w:rPr>
        <w:t>1,0</w:t>
      </w:r>
      <w:r w:rsidRPr="00A95BA9">
        <w:rPr>
          <w:rFonts w:ascii="Arial" w:hAnsi="Arial" w:cs="Arial"/>
          <w:sz w:val="22"/>
          <w:szCs w:val="22"/>
        </w:rPr>
        <w:t> Prozent.</w:t>
      </w:r>
    </w:p>
    <w:p w:rsidR="00C922FE" w:rsidRPr="00A95BA9" w:rsidRDefault="00C922FE"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Umsatz mit Hundefutter bleibt auf Wachstumskurs – Feuchtfutter und Snacks treiben den Markt</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Mit einem Wachstum von </w:t>
      </w:r>
      <w:r w:rsidR="00BB2E46" w:rsidRPr="00A95BA9">
        <w:rPr>
          <w:rFonts w:ascii="Arial" w:hAnsi="Arial" w:cs="Arial"/>
          <w:sz w:val="22"/>
          <w:szCs w:val="22"/>
        </w:rPr>
        <w:t>4,5</w:t>
      </w:r>
      <w:r w:rsidRPr="00A95BA9">
        <w:rPr>
          <w:rFonts w:ascii="Arial" w:hAnsi="Arial" w:cs="Arial"/>
          <w:sz w:val="22"/>
          <w:szCs w:val="22"/>
        </w:rPr>
        <w:t> Prozent setzte der Markt für Hundefutter den Wachstumstrend der Vorjahre auch 2018 ungehindert fort und behauptete sich mit einem Umsatz von 1.4</w:t>
      </w:r>
      <w:r w:rsidR="00BB2E46" w:rsidRPr="00A95BA9">
        <w:rPr>
          <w:rFonts w:ascii="Arial" w:hAnsi="Arial" w:cs="Arial"/>
          <w:sz w:val="22"/>
          <w:szCs w:val="22"/>
        </w:rPr>
        <w:t>4</w:t>
      </w:r>
      <w:r w:rsidRPr="00A95BA9">
        <w:rPr>
          <w:rFonts w:ascii="Arial" w:hAnsi="Arial" w:cs="Arial"/>
          <w:sz w:val="22"/>
          <w:szCs w:val="22"/>
        </w:rPr>
        <w:t>6 Millionen Euro im stationären Handel. Wachstumstreiber waren die Segmente „Feuchtfutter“ (4</w:t>
      </w:r>
      <w:r w:rsidR="00BB2E46" w:rsidRPr="00A95BA9">
        <w:rPr>
          <w:rFonts w:ascii="Arial" w:hAnsi="Arial" w:cs="Arial"/>
          <w:sz w:val="22"/>
          <w:szCs w:val="22"/>
        </w:rPr>
        <w:t xml:space="preserve">73 </w:t>
      </w:r>
      <w:r w:rsidRPr="00A95BA9">
        <w:rPr>
          <w:rFonts w:ascii="Arial" w:hAnsi="Arial" w:cs="Arial"/>
          <w:sz w:val="22"/>
          <w:szCs w:val="22"/>
        </w:rPr>
        <w:t xml:space="preserve">Mio. Euro, plus </w:t>
      </w:r>
      <w:r w:rsidR="00BB2E46" w:rsidRPr="00A95BA9">
        <w:rPr>
          <w:rFonts w:ascii="Arial" w:hAnsi="Arial" w:cs="Arial"/>
          <w:sz w:val="22"/>
          <w:szCs w:val="22"/>
        </w:rPr>
        <w:t>6,3</w:t>
      </w:r>
      <w:r w:rsidRPr="00A95BA9">
        <w:rPr>
          <w:rFonts w:ascii="Arial" w:hAnsi="Arial" w:cs="Arial"/>
          <w:sz w:val="22"/>
          <w:szCs w:val="22"/>
        </w:rPr>
        <w:t> Prozent) und „Snacks“ (538 Mio. Euro, plus 4,9 Prozent).</w:t>
      </w:r>
      <w:r w:rsidR="00BB2E46" w:rsidRPr="00A95BA9">
        <w:rPr>
          <w:rFonts w:ascii="Arial" w:hAnsi="Arial" w:cs="Arial"/>
          <w:sz w:val="22"/>
          <w:szCs w:val="22"/>
        </w:rPr>
        <w:t xml:space="preserve"> Auch d</w:t>
      </w:r>
      <w:r w:rsidRPr="00A95BA9">
        <w:rPr>
          <w:rFonts w:ascii="Arial" w:hAnsi="Arial" w:cs="Arial"/>
          <w:sz w:val="22"/>
          <w:szCs w:val="22"/>
        </w:rPr>
        <w:t xml:space="preserve">er Bereich „Trockenfutter“ </w:t>
      </w:r>
      <w:r w:rsidR="00BB2E46" w:rsidRPr="00A95BA9">
        <w:rPr>
          <w:rFonts w:ascii="Arial" w:hAnsi="Arial" w:cs="Arial"/>
          <w:sz w:val="22"/>
          <w:szCs w:val="22"/>
        </w:rPr>
        <w:t xml:space="preserve">legte </w:t>
      </w:r>
      <w:r w:rsidRPr="00A95BA9">
        <w:rPr>
          <w:rFonts w:ascii="Arial" w:hAnsi="Arial" w:cs="Arial"/>
          <w:sz w:val="22"/>
          <w:szCs w:val="22"/>
        </w:rPr>
        <w:t>mit einem Umsatz von 4</w:t>
      </w:r>
      <w:r w:rsidR="00BB2E46" w:rsidRPr="00A95BA9">
        <w:rPr>
          <w:rFonts w:ascii="Arial" w:hAnsi="Arial" w:cs="Arial"/>
          <w:sz w:val="22"/>
          <w:szCs w:val="22"/>
        </w:rPr>
        <w:t>35</w:t>
      </w:r>
      <w:r w:rsidRPr="00A95BA9">
        <w:rPr>
          <w:rFonts w:ascii="Arial" w:hAnsi="Arial" w:cs="Arial"/>
          <w:sz w:val="22"/>
          <w:szCs w:val="22"/>
        </w:rPr>
        <w:t xml:space="preserve"> Millionen Euro </w:t>
      </w:r>
      <w:r w:rsidR="00BB2E46" w:rsidRPr="00A95BA9">
        <w:rPr>
          <w:rFonts w:ascii="Arial" w:hAnsi="Arial" w:cs="Arial"/>
          <w:sz w:val="22"/>
          <w:szCs w:val="22"/>
        </w:rPr>
        <w:t xml:space="preserve">zu </w:t>
      </w:r>
      <w:r w:rsidRPr="00A95BA9">
        <w:rPr>
          <w:rFonts w:ascii="Arial" w:hAnsi="Arial" w:cs="Arial"/>
          <w:sz w:val="22"/>
          <w:szCs w:val="22"/>
        </w:rPr>
        <w:t>(</w:t>
      </w:r>
      <w:r w:rsidR="00BB2E46" w:rsidRPr="00A95BA9">
        <w:rPr>
          <w:rFonts w:ascii="Arial" w:hAnsi="Arial" w:cs="Arial"/>
          <w:sz w:val="22"/>
          <w:szCs w:val="22"/>
        </w:rPr>
        <w:t>plus 2</w:t>
      </w:r>
      <w:r w:rsidRPr="00A95BA9">
        <w:rPr>
          <w:rFonts w:ascii="Arial" w:hAnsi="Arial" w:cs="Arial"/>
          <w:sz w:val="22"/>
          <w:szCs w:val="22"/>
        </w:rPr>
        <w:t>,</w:t>
      </w:r>
      <w:r w:rsidR="00BB2E46" w:rsidRPr="00A95BA9">
        <w:rPr>
          <w:rFonts w:ascii="Arial" w:hAnsi="Arial" w:cs="Arial"/>
          <w:sz w:val="22"/>
          <w:szCs w:val="22"/>
        </w:rPr>
        <w:t>1</w:t>
      </w:r>
      <w:r w:rsidRPr="00A95BA9">
        <w:rPr>
          <w:rFonts w:ascii="Arial" w:hAnsi="Arial" w:cs="Arial"/>
          <w:sz w:val="22"/>
          <w:szCs w:val="22"/>
        </w:rPr>
        <w:t> Prozent).</w:t>
      </w:r>
    </w:p>
    <w:p w:rsidR="00C616A7" w:rsidRDefault="00C922FE" w:rsidP="00C922FE">
      <w:pPr>
        <w:tabs>
          <w:tab w:val="left" w:pos="1089"/>
        </w:tabs>
        <w:spacing w:before="120" w:after="120" w:line="360" w:lineRule="auto"/>
        <w:ind w:right="1134"/>
        <w:jc w:val="both"/>
        <w:rPr>
          <w:rFonts w:ascii="Arial" w:hAnsi="Arial" w:cs="Arial"/>
          <w:sz w:val="22"/>
          <w:szCs w:val="22"/>
        </w:rPr>
      </w:pPr>
      <w:r w:rsidRPr="00A95BA9">
        <w:rPr>
          <w:rFonts w:ascii="Arial" w:hAnsi="Arial" w:cs="Arial"/>
          <w:sz w:val="22"/>
          <w:szCs w:val="22"/>
        </w:rPr>
        <w:t>„Die Praxis der Mischfütterung mit Feucht- und Trockennahrung und die Fütterungsvorteile von Einzelportionspackungen sind sicherlich mitverantwortlich für das Wachstum bei Feuchtfutter“, sagt Georg Müller, Vorsitzender des Industrieverbands Heimtierbedarf (IVH) e.V.</w:t>
      </w:r>
    </w:p>
    <w:p w:rsidR="00C922FE" w:rsidRPr="00A95BA9" w:rsidRDefault="00C922FE" w:rsidP="00C922FE">
      <w:pPr>
        <w:tabs>
          <w:tab w:val="left" w:pos="1089"/>
        </w:tabs>
        <w:spacing w:before="120" w:after="120" w:line="360" w:lineRule="auto"/>
        <w:ind w:right="1134"/>
        <w:jc w:val="both"/>
        <w:rPr>
          <w:rFonts w:ascii="Arial" w:hAnsi="Arial" w:cs="Arial"/>
          <w:sz w:val="22"/>
          <w:szCs w:val="22"/>
        </w:rPr>
      </w:pPr>
      <w:bookmarkStart w:id="0" w:name="_GoBack"/>
      <w:bookmarkEnd w:id="0"/>
      <w:r w:rsidRPr="00A95BA9">
        <w:rPr>
          <w:rFonts w:ascii="Arial" w:hAnsi="Arial" w:cs="Arial"/>
          <w:sz w:val="22"/>
          <w:szCs w:val="22"/>
        </w:rPr>
        <w:lastRenderedPageBreak/>
        <w:t xml:space="preserve"> </w:t>
      </w:r>
      <w:r w:rsidR="00820F07">
        <w:rPr>
          <w:rFonts w:ascii="Arial" w:hAnsi="Arial" w:cs="Arial"/>
          <w:sz w:val="22"/>
          <w:szCs w:val="22"/>
        </w:rPr>
        <w:br/>
      </w:r>
      <w:r w:rsidRPr="00A95BA9">
        <w:rPr>
          <w:rFonts w:ascii="Arial" w:hAnsi="Arial" w:cs="Arial"/>
          <w:sz w:val="22"/>
          <w:szCs w:val="22"/>
        </w:rPr>
        <w:t>„Und auch Snacks mit funktionalem Zusatznutzen sowie Belohnungsartikel sind weiterhin sehr gefragt und führen ebenfalls zu einem weiteren Wachstum in dieser Kategorie.“</w:t>
      </w:r>
    </w:p>
    <w:p w:rsidR="00C922FE" w:rsidRPr="00A95BA9" w:rsidRDefault="00C922FE"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Markt für Katzenfutter hält hohes Niveau</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Der Katzenfuttermarkt blieb auch </w:t>
      </w:r>
      <w:r w:rsidR="008B42B8" w:rsidRPr="00A95BA9">
        <w:rPr>
          <w:rFonts w:ascii="Arial" w:hAnsi="Arial" w:cs="Arial"/>
          <w:sz w:val="22"/>
          <w:szCs w:val="22"/>
        </w:rPr>
        <w:t xml:space="preserve">im Jahr </w:t>
      </w:r>
      <w:r w:rsidRPr="00A95BA9">
        <w:rPr>
          <w:rFonts w:ascii="Arial" w:hAnsi="Arial" w:cs="Arial"/>
          <w:sz w:val="22"/>
          <w:szCs w:val="22"/>
        </w:rPr>
        <w:t>2018 das größte Futtersegment, musste aber mit einem Umsatz von 1.57</w:t>
      </w:r>
      <w:r w:rsidR="00BB2E46" w:rsidRPr="00A95BA9">
        <w:rPr>
          <w:rFonts w:ascii="Arial" w:hAnsi="Arial" w:cs="Arial"/>
          <w:sz w:val="22"/>
          <w:szCs w:val="22"/>
        </w:rPr>
        <w:t>7</w:t>
      </w:r>
      <w:r w:rsidRPr="00A95BA9">
        <w:rPr>
          <w:rFonts w:ascii="Arial" w:hAnsi="Arial" w:cs="Arial"/>
          <w:sz w:val="22"/>
          <w:szCs w:val="22"/>
        </w:rPr>
        <w:t> Millionen Euro im Fach- und Lebensmitteleinzelhandel gleichwohl ein leichtes Minus von 0,</w:t>
      </w:r>
      <w:r w:rsidR="00BB2E46" w:rsidRPr="00A95BA9">
        <w:rPr>
          <w:rFonts w:ascii="Arial" w:hAnsi="Arial" w:cs="Arial"/>
          <w:sz w:val="22"/>
          <w:szCs w:val="22"/>
        </w:rPr>
        <w:t>4</w:t>
      </w:r>
      <w:r w:rsidRPr="00A95BA9">
        <w:rPr>
          <w:rFonts w:ascii="Arial" w:hAnsi="Arial" w:cs="Arial"/>
          <w:sz w:val="22"/>
          <w:szCs w:val="22"/>
        </w:rPr>
        <w:t> Prozent hinnehmen. Wachstumstreiber war auch hier eindeutig das Segment „Snacks“ (23</w:t>
      </w:r>
      <w:r w:rsidR="00994114" w:rsidRPr="00A95BA9">
        <w:rPr>
          <w:rFonts w:ascii="Arial" w:hAnsi="Arial" w:cs="Arial"/>
          <w:sz w:val="22"/>
          <w:szCs w:val="22"/>
        </w:rPr>
        <w:t>8 Mio. Euro, plus 3</w:t>
      </w:r>
      <w:r w:rsidRPr="00A95BA9">
        <w:rPr>
          <w:rFonts w:ascii="Arial" w:hAnsi="Arial" w:cs="Arial"/>
          <w:sz w:val="22"/>
          <w:szCs w:val="22"/>
        </w:rPr>
        <w:t>,</w:t>
      </w:r>
      <w:r w:rsidR="00994114" w:rsidRPr="00A95BA9">
        <w:rPr>
          <w:rFonts w:ascii="Arial" w:hAnsi="Arial" w:cs="Arial"/>
          <w:sz w:val="22"/>
          <w:szCs w:val="22"/>
        </w:rPr>
        <w:t>5</w:t>
      </w:r>
      <w:r w:rsidRPr="00A95BA9">
        <w:rPr>
          <w:rFonts w:ascii="Arial" w:hAnsi="Arial" w:cs="Arial"/>
          <w:sz w:val="22"/>
          <w:szCs w:val="22"/>
        </w:rPr>
        <w:t xml:space="preserve"> Prozent). Auch der Bereich „Trockenfutter“ (299 Mio. Euro, plus 0,3 Prozent) entwickelte sich positiv. Lediglich das Segment „Feuchtfutter“ ging im Gegensatz zum Vorjahr leicht zurück (1.040 Mio. Euro, minus 1,4 Prozent). </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„Snacks bieten heute mehr als guten Geschmack, sie bieten einen Zusatznutzen. Insgesamt wird bei Futtermitteln auf noch mehr Qualität geachtet, sowohl bei Trocken- als auch bei Nassfutter“, erklärt Norbert </w:t>
      </w:r>
      <w:proofErr w:type="spellStart"/>
      <w:r w:rsidRPr="00A95BA9">
        <w:rPr>
          <w:rFonts w:ascii="Arial" w:hAnsi="Arial" w:cs="Arial"/>
          <w:sz w:val="22"/>
          <w:szCs w:val="22"/>
        </w:rPr>
        <w:t>Holthenrich</w:t>
      </w:r>
      <w:proofErr w:type="spellEnd"/>
      <w:r w:rsidRPr="00A95BA9">
        <w:rPr>
          <w:rFonts w:ascii="Arial" w:hAnsi="Arial" w:cs="Arial"/>
          <w:sz w:val="22"/>
          <w:szCs w:val="22"/>
        </w:rPr>
        <w:t>, Präsident des Zentralverbands Zoologischer Fachbetriebe e.V. (ZZF). „Das anhaltende Wachstum erklärt sich auch mit dem Trend zu kleineren Packungsgrößen, welche unterstützen, dass das Futter regelmäßig frisch in den Napf kommt.“</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b/>
          <w:sz w:val="22"/>
          <w:szCs w:val="22"/>
        </w:rPr>
        <w:t>Kleintierfutter weiterhin drittstärkstes Futtersegment</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Das Segment Kleintierfutter blieb hinter Katzen- und Hundefutter drittstärkste Kraft bei den Futtermitteln, verzeichnete jedoch im Jahr 2018 in den klassischen Vertriebswegen Umsatzeinbußen von minus 2,3 Prozent und sank auf 85 Millionen Euro.</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Auch die Umsätze am Markt für Zierfischfutter gingen zurück (52 Mio. Euro, minus 3,7 Prozent)</w:t>
      </w:r>
      <w:r w:rsidR="00D75EAB">
        <w:rPr>
          <w:rFonts w:ascii="Arial" w:hAnsi="Arial" w:cs="Arial"/>
          <w:sz w:val="22"/>
          <w:szCs w:val="22"/>
        </w:rPr>
        <w:t>,</w:t>
      </w:r>
      <w:r w:rsidRPr="00A95BA9">
        <w:rPr>
          <w:rFonts w:ascii="Arial" w:hAnsi="Arial" w:cs="Arial"/>
          <w:sz w:val="22"/>
          <w:szCs w:val="22"/>
        </w:rPr>
        <w:t xml:space="preserve"> während sich der Bereich Ziervogelfutter im stationären Handel positiv entwickelte und ein Umsatzplus von 1,5 Prozent auf 66 Millionen Euro verzeichnet</w:t>
      </w:r>
      <w:r w:rsidR="00D75EAB">
        <w:rPr>
          <w:rFonts w:ascii="Arial" w:hAnsi="Arial" w:cs="Arial"/>
          <w:sz w:val="22"/>
          <w:szCs w:val="22"/>
        </w:rPr>
        <w:t>e</w:t>
      </w:r>
      <w:r w:rsidRPr="00A95BA9">
        <w:rPr>
          <w:rFonts w:ascii="Arial" w:hAnsi="Arial" w:cs="Arial"/>
          <w:sz w:val="22"/>
          <w:szCs w:val="22"/>
        </w:rPr>
        <w:t>.</w:t>
      </w:r>
    </w:p>
    <w:p w:rsidR="00C922FE" w:rsidRPr="00A95BA9" w:rsidRDefault="00C922FE" w:rsidP="00C922FE">
      <w:pPr>
        <w:tabs>
          <w:tab w:val="left" w:pos="2160"/>
        </w:tabs>
        <w:spacing w:before="120" w:after="120" w:line="360" w:lineRule="auto"/>
        <w:ind w:right="1134"/>
        <w:jc w:val="both"/>
        <w:rPr>
          <w:rFonts w:ascii="Arial" w:hAnsi="Arial" w:cs="Arial"/>
          <w:b/>
          <w:sz w:val="22"/>
          <w:szCs w:val="22"/>
        </w:rPr>
      </w:pPr>
      <w:r w:rsidRPr="00A95BA9">
        <w:rPr>
          <w:rFonts w:ascii="Arial" w:hAnsi="Arial" w:cs="Arial"/>
          <w:b/>
          <w:sz w:val="22"/>
          <w:szCs w:val="22"/>
        </w:rPr>
        <w:t>Bedarfsartikel und Zubehör mit leichte</w:t>
      </w:r>
      <w:r w:rsidR="00120B6A">
        <w:rPr>
          <w:rFonts w:ascii="Arial" w:hAnsi="Arial" w:cs="Arial"/>
          <w:b/>
          <w:sz w:val="22"/>
          <w:szCs w:val="22"/>
        </w:rPr>
        <w:t>m</w:t>
      </w:r>
      <w:r w:rsidRPr="00A95BA9">
        <w:rPr>
          <w:rFonts w:ascii="Arial" w:hAnsi="Arial" w:cs="Arial"/>
          <w:b/>
          <w:sz w:val="22"/>
          <w:szCs w:val="22"/>
        </w:rPr>
        <w:t xml:space="preserve"> Umsatz</w:t>
      </w:r>
      <w:r w:rsidR="00120B6A">
        <w:rPr>
          <w:rFonts w:ascii="Arial" w:hAnsi="Arial" w:cs="Arial"/>
          <w:b/>
          <w:sz w:val="22"/>
          <w:szCs w:val="22"/>
        </w:rPr>
        <w:t>plus</w:t>
      </w:r>
    </w:p>
    <w:p w:rsidR="00820F07" w:rsidRDefault="00994114" w:rsidP="00994114">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Nach der positiven Entwicklung </w:t>
      </w:r>
      <w:r w:rsidR="004F3EAA">
        <w:rPr>
          <w:rFonts w:ascii="Arial" w:hAnsi="Arial" w:cs="Arial"/>
          <w:sz w:val="22"/>
          <w:szCs w:val="22"/>
        </w:rPr>
        <w:t xml:space="preserve">im Jahr </w:t>
      </w:r>
      <w:r w:rsidRPr="00A95BA9">
        <w:rPr>
          <w:rFonts w:ascii="Arial" w:hAnsi="Arial" w:cs="Arial"/>
          <w:sz w:val="22"/>
          <w:szCs w:val="22"/>
        </w:rPr>
        <w:t>2017 verzeichnete der Bereich „Bedarfsartikel und Zubehör“ mit einem Umsatz von 997 Millionen Euro auch im Jahr 2018 wieder ein Umsatzplus (plus 1,0 </w:t>
      </w:r>
      <w:r w:rsidR="001B32BF">
        <w:rPr>
          <w:rFonts w:ascii="Arial" w:hAnsi="Arial" w:cs="Arial"/>
          <w:sz w:val="22"/>
          <w:szCs w:val="22"/>
        </w:rPr>
        <w:t>Prozent</w:t>
      </w:r>
      <w:r w:rsidRPr="00A95BA9">
        <w:rPr>
          <w:rFonts w:ascii="Arial" w:hAnsi="Arial" w:cs="Arial"/>
          <w:sz w:val="22"/>
          <w:szCs w:val="22"/>
        </w:rPr>
        <w:t xml:space="preserve">). </w:t>
      </w:r>
      <w:r w:rsidR="00C922FE" w:rsidRPr="00A95BA9">
        <w:rPr>
          <w:rFonts w:ascii="Arial" w:hAnsi="Arial" w:cs="Arial"/>
          <w:sz w:val="22"/>
          <w:szCs w:val="22"/>
        </w:rPr>
        <w:t>Dennoch gab es in der Kategorie zwei eindeutige Wachstums-Gewinner</w:t>
      </w:r>
      <w:r w:rsidRPr="00A95BA9">
        <w:rPr>
          <w:rFonts w:ascii="Arial" w:hAnsi="Arial" w:cs="Arial"/>
          <w:sz w:val="22"/>
          <w:szCs w:val="22"/>
        </w:rPr>
        <w:t>:</w:t>
      </w:r>
      <w:r w:rsidR="00C922FE" w:rsidRPr="00A95BA9">
        <w:rPr>
          <w:rFonts w:ascii="Arial" w:hAnsi="Arial" w:cs="Arial"/>
          <w:sz w:val="22"/>
          <w:szCs w:val="22"/>
        </w:rPr>
        <w:t xml:space="preserve"> Dies waren wie schon im Vorjahr die Bereiche Hundezubehör (202 Mio. Euro, plus 5,2 Prozent) sowie Katzenzubehör (204 Mio. Euro, plus 3,0 Prozent). </w:t>
      </w:r>
    </w:p>
    <w:p w:rsidR="00C922FE" w:rsidRPr="00A95BA9" w:rsidRDefault="00C922FE" w:rsidP="00994114">
      <w:pPr>
        <w:spacing w:before="120" w:after="120" w:line="360" w:lineRule="auto"/>
        <w:ind w:right="1134"/>
        <w:jc w:val="both"/>
        <w:rPr>
          <w:rFonts w:ascii="Arial" w:hAnsi="Arial" w:cs="Arial"/>
          <w:sz w:val="22"/>
          <w:szCs w:val="22"/>
        </w:rPr>
      </w:pPr>
      <w:r w:rsidRPr="00A95BA9">
        <w:rPr>
          <w:rFonts w:ascii="Arial" w:hAnsi="Arial" w:cs="Arial"/>
          <w:sz w:val="22"/>
          <w:szCs w:val="22"/>
        </w:rPr>
        <w:lastRenderedPageBreak/>
        <w:t>Das Segment Katzenstreu dagegen verzeichnete einen leichten Rückgang (282 Mio. Euro, minus 1,4 Prozent). Rückläufig waren auch die Zahlen bei Bedarfsartikeln und Zubehör für Kleintiere (95 Mio. Euro, minus 4,0 Prozent) und Ziervögel (32 Mio. Euro, minus 5,9 Prozent).</w:t>
      </w:r>
      <w:r w:rsidR="008E24DF" w:rsidRPr="00A95BA9">
        <w:rPr>
          <w:rFonts w:ascii="Arial" w:hAnsi="Arial" w:cs="Arial"/>
          <w:sz w:val="22"/>
          <w:szCs w:val="22"/>
        </w:rPr>
        <w:t xml:space="preserve"> Dafür verzeichnete</w:t>
      </w:r>
      <w:r w:rsidR="003D67C6" w:rsidRPr="00A95BA9">
        <w:rPr>
          <w:rFonts w:ascii="Arial" w:hAnsi="Arial" w:cs="Arial"/>
          <w:sz w:val="22"/>
          <w:szCs w:val="22"/>
        </w:rPr>
        <w:t>n</w:t>
      </w:r>
      <w:r w:rsidR="008E24DF" w:rsidRPr="00A95BA9">
        <w:rPr>
          <w:rFonts w:ascii="Arial" w:hAnsi="Arial" w:cs="Arial"/>
          <w:sz w:val="22"/>
          <w:szCs w:val="22"/>
        </w:rPr>
        <w:t xml:space="preserve"> die Zahlen bei Zierfischen ein Umsatzplus von 2,2 Prozent </w:t>
      </w:r>
      <w:r w:rsidR="003D67C6" w:rsidRPr="00A95BA9">
        <w:rPr>
          <w:rFonts w:ascii="Arial" w:hAnsi="Arial" w:cs="Arial"/>
          <w:sz w:val="22"/>
          <w:szCs w:val="22"/>
        </w:rPr>
        <w:t xml:space="preserve">und der Umsatz stieg auf </w:t>
      </w:r>
      <w:r w:rsidR="008E24DF" w:rsidRPr="00A95BA9">
        <w:rPr>
          <w:rFonts w:ascii="Arial" w:hAnsi="Arial" w:cs="Arial"/>
          <w:sz w:val="22"/>
          <w:szCs w:val="22"/>
        </w:rPr>
        <w:t>182 Millionen Euro</w:t>
      </w:r>
      <w:r w:rsidR="003D67C6" w:rsidRPr="00A95BA9">
        <w:rPr>
          <w:rFonts w:ascii="Arial" w:hAnsi="Arial" w:cs="Arial"/>
          <w:sz w:val="22"/>
          <w:szCs w:val="22"/>
        </w:rPr>
        <w:t>.</w:t>
      </w:r>
    </w:p>
    <w:p w:rsidR="00C922FE" w:rsidRPr="00A95BA9" w:rsidRDefault="00C922FE"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Vertriebswege: Fachhandel bleibt stärkster Absatzweg für Bedarfsartikel und Zubehör</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Mit einem Umsatz von 795 Millionen Euro und einem Umsatzanteil von 8</w:t>
      </w:r>
      <w:r w:rsidR="00AC5DAD" w:rsidRPr="00A95BA9">
        <w:rPr>
          <w:rFonts w:ascii="Arial" w:hAnsi="Arial" w:cs="Arial"/>
          <w:sz w:val="22"/>
          <w:szCs w:val="22"/>
        </w:rPr>
        <w:t>0</w:t>
      </w:r>
      <w:r w:rsidRPr="00A95BA9">
        <w:rPr>
          <w:rFonts w:ascii="Arial" w:hAnsi="Arial" w:cs="Arial"/>
          <w:sz w:val="22"/>
          <w:szCs w:val="22"/>
        </w:rPr>
        <w:t> Prozent blieb der Fachhandel auch im Jahr 2018 der wichtigste Absatzweg für Bedarfsartikel und Zubehör, während sich der Lebensmitteleinzelhandel (einschließlich Drogeriemärkten und Discountern) als der Hauptabsatzweg für Heimtier-Fertignahrung behauptete (Umsatz: 2.0</w:t>
      </w:r>
      <w:r w:rsidR="00AC5DAD" w:rsidRPr="00A95BA9">
        <w:rPr>
          <w:rFonts w:ascii="Arial" w:hAnsi="Arial" w:cs="Arial"/>
          <w:sz w:val="22"/>
          <w:szCs w:val="22"/>
        </w:rPr>
        <w:t>46</w:t>
      </w:r>
      <w:r w:rsidRPr="00A95BA9">
        <w:rPr>
          <w:rFonts w:ascii="Arial" w:hAnsi="Arial" w:cs="Arial"/>
          <w:sz w:val="22"/>
          <w:szCs w:val="22"/>
        </w:rPr>
        <w:t> Mio. Euro, Umsatzanteil: 63 Prozent).</w:t>
      </w:r>
    </w:p>
    <w:p w:rsidR="00C922FE" w:rsidRPr="00A95BA9" w:rsidRDefault="00C922FE"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Online-Handel als relevanter Vertriebsweg etabliert</w:t>
      </w:r>
    </w:p>
    <w:p w:rsidR="00C922FE" w:rsidRPr="00A95BA9" w:rsidRDefault="00C922FE"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Schätzungen von Experten aus Industrie und Handel bestätigen wie schon in den Vorjahren: Das Internet gewinnt auch für Heimtierprodukte zunehmend an Bedeutung. 2018 betrug das geschätzte Umsatzvolumen circa 625 Millionen Euro – ein deutliches Plus im Vergleich zum Vorjahr. Differenzierte, tierartenspezifische Daten zum Online-Markt sind derzeit noch nicht verfügbar. Zudem wurden 100 Millionen Euro für Wildvogelfutter umgesetzt – das sind zwei Millionen mehr als im Vorjahr.</w:t>
      </w:r>
    </w:p>
    <w:p w:rsidR="00636DED" w:rsidRPr="00A95BA9" w:rsidRDefault="00636DED"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Heimtierpopulation hält hohes Niveau</w:t>
      </w:r>
    </w:p>
    <w:p w:rsidR="00636DED" w:rsidRPr="00A95BA9" w:rsidRDefault="00636DED"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Im vergangenen Jahr lebten in Deutschland 34,4 Millionen Hunde, Katzen, Kleinsäuger und Ziervögel. Hinzu kamen zahlreiche Zierfische und </w:t>
      </w:r>
      <w:proofErr w:type="spellStart"/>
      <w:r w:rsidRPr="00A95BA9">
        <w:rPr>
          <w:rFonts w:ascii="Arial" w:hAnsi="Arial" w:cs="Arial"/>
          <w:sz w:val="22"/>
          <w:szCs w:val="22"/>
        </w:rPr>
        <w:t>Terrarientiere</w:t>
      </w:r>
      <w:proofErr w:type="spellEnd"/>
      <w:r w:rsidRPr="00A95BA9">
        <w:rPr>
          <w:rFonts w:ascii="Arial" w:hAnsi="Arial" w:cs="Arial"/>
          <w:sz w:val="22"/>
          <w:szCs w:val="22"/>
        </w:rPr>
        <w:t xml:space="preserve">. Insgesamt gab es in 45 Prozent aller Haushalte in Deutschland Heimtiere. 63 Prozent aller Familien mit Kindern hatten ein Heimtier und 22 Prozent aller Haushalte mit Tieren besaßen mindestens zwei Heimtiere. Das ist das Ergebnis einer </w:t>
      </w:r>
      <w:r w:rsidR="008B42B8" w:rsidRPr="00A95BA9">
        <w:rPr>
          <w:rFonts w:ascii="Arial" w:hAnsi="Arial" w:cs="Arial"/>
          <w:sz w:val="22"/>
          <w:szCs w:val="22"/>
        </w:rPr>
        <w:t>haushalts</w:t>
      </w:r>
      <w:r w:rsidRPr="00A95BA9">
        <w:rPr>
          <w:rFonts w:ascii="Arial" w:hAnsi="Arial" w:cs="Arial"/>
          <w:sz w:val="22"/>
          <w:szCs w:val="22"/>
        </w:rPr>
        <w:t xml:space="preserve">repräsentativen Erhebung, die IVH und ZZF beim Marktforschungsinstitut </w:t>
      </w:r>
      <w:proofErr w:type="spellStart"/>
      <w:r w:rsidRPr="00A95BA9">
        <w:rPr>
          <w:rFonts w:ascii="Arial" w:hAnsi="Arial" w:cs="Arial"/>
          <w:sz w:val="22"/>
          <w:szCs w:val="22"/>
        </w:rPr>
        <w:t>Skopos</w:t>
      </w:r>
      <w:proofErr w:type="spellEnd"/>
      <w:r w:rsidRPr="00A95BA9">
        <w:rPr>
          <w:rFonts w:ascii="Arial" w:hAnsi="Arial" w:cs="Arial"/>
          <w:sz w:val="22"/>
          <w:szCs w:val="22"/>
        </w:rPr>
        <w:t xml:space="preserve"> in Auftrag gegeben hatten (</w:t>
      </w:r>
      <w:r w:rsidR="00ED221C" w:rsidRPr="00A95BA9">
        <w:rPr>
          <w:rFonts w:ascii="Arial" w:hAnsi="Arial" w:cs="Arial"/>
          <w:sz w:val="22"/>
          <w:szCs w:val="22"/>
        </w:rPr>
        <w:t>t</w:t>
      </w:r>
      <w:r w:rsidR="008B42B8" w:rsidRPr="00A95BA9">
        <w:rPr>
          <w:rFonts w:ascii="Arial" w:hAnsi="Arial" w:cs="Arial"/>
          <w:sz w:val="22"/>
          <w:szCs w:val="22"/>
        </w:rPr>
        <w:t xml:space="preserve">elefonische Erhebung, </w:t>
      </w:r>
      <w:r w:rsidRPr="00A95BA9">
        <w:rPr>
          <w:rFonts w:ascii="Arial" w:hAnsi="Arial" w:cs="Arial"/>
          <w:sz w:val="22"/>
          <w:szCs w:val="22"/>
        </w:rPr>
        <w:t>Basis 7.000 Befragte).</w:t>
      </w:r>
    </w:p>
    <w:p w:rsidR="00636DED" w:rsidRPr="00A95BA9" w:rsidRDefault="00636DED"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Erhebung bestätigt: Katzen auf Platz eins der Beliebtheitsskala</w:t>
      </w:r>
    </w:p>
    <w:p w:rsidR="00820F07" w:rsidRDefault="00636DED"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Die Katze ist weiterhin Deutschlands Heimtier Nummer eins: Insgesamt leben 14,8 Millionen Samtpfoten in 23 Prozent der Haushalte in Deutschland. </w:t>
      </w:r>
    </w:p>
    <w:p w:rsidR="00636DED" w:rsidRPr="00A95BA9" w:rsidRDefault="00636DED" w:rsidP="00C922FE">
      <w:pPr>
        <w:spacing w:before="120" w:after="120" w:line="360" w:lineRule="auto"/>
        <w:ind w:right="1134"/>
        <w:jc w:val="both"/>
        <w:rPr>
          <w:rFonts w:ascii="Arial" w:hAnsi="Arial" w:cs="Arial"/>
          <w:sz w:val="22"/>
          <w:szCs w:val="22"/>
        </w:rPr>
      </w:pPr>
      <w:r w:rsidRPr="00A95BA9">
        <w:rPr>
          <w:rFonts w:ascii="Arial" w:hAnsi="Arial" w:cs="Arial"/>
          <w:sz w:val="22"/>
          <w:szCs w:val="22"/>
        </w:rPr>
        <w:lastRenderedPageBreak/>
        <w:t>An zweiter Stelle haben 9,4 Millionen Hunde in 1</w:t>
      </w:r>
      <w:r w:rsidR="008B42B8" w:rsidRPr="00A95BA9">
        <w:rPr>
          <w:rFonts w:ascii="Arial" w:hAnsi="Arial" w:cs="Arial"/>
          <w:sz w:val="22"/>
          <w:szCs w:val="22"/>
        </w:rPr>
        <w:t>9</w:t>
      </w:r>
      <w:r w:rsidRPr="00A95BA9">
        <w:rPr>
          <w:rFonts w:ascii="Arial" w:hAnsi="Arial" w:cs="Arial"/>
          <w:sz w:val="22"/>
          <w:szCs w:val="22"/>
        </w:rPr>
        <w:t xml:space="preserve"> Prozent der Haushalte die Schnauze vorn, an Position drei folgen 5,4 Millionen Kleintiere in sechs Prozent der Haushalte. </w:t>
      </w:r>
    </w:p>
    <w:p w:rsidR="00636DED" w:rsidRPr="00A95BA9" w:rsidRDefault="00636DED"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Die Zahl der Ziervögel betrug im Jahr 2018 4,8 Millionen in </w:t>
      </w:r>
      <w:r w:rsidR="001B32BF">
        <w:rPr>
          <w:rFonts w:ascii="Arial" w:hAnsi="Arial" w:cs="Arial"/>
          <w:sz w:val="22"/>
          <w:szCs w:val="22"/>
        </w:rPr>
        <w:t>vier</w:t>
      </w:r>
      <w:r w:rsidRPr="00A95BA9">
        <w:rPr>
          <w:rFonts w:ascii="Arial" w:hAnsi="Arial" w:cs="Arial"/>
          <w:sz w:val="22"/>
          <w:szCs w:val="22"/>
        </w:rPr>
        <w:t xml:space="preserve"> Prozent der Haushalte. Zudem gab es im selben Zeitraum 1,9 Millionen Aquarien in vier Prozent der Haushalte sowie 1,5 Millionen Gartenteiche mit Zierfischen in drei Prozent der Haushalte in Deutschland. Die Zahl der Terrarien stieg um 200.000: </w:t>
      </w:r>
      <w:r w:rsidR="008B42B8" w:rsidRPr="00A95BA9">
        <w:rPr>
          <w:rFonts w:ascii="Arial" w:hAnsi="Arial" w:cs="Arial"/>
          <w:sz w:val="22"/>
          <w:szCs w:val="22"/>
        </w:rPr>
        <w:t xml:space="preserve">Im Jahr 2018 </w:t>
      </w:r>
      <w:r w:rsidRPr="00A95BA9">
        <w:rPr>
          <w:rFonts w:ascii="Arial" w:hAnsi="Arial" w:cs="Arial"/>
          <w:sz w:val="22"/>
          <w:szCs w:val="22"/>
        </w:rPr>
        <w:t>wurden eine Million Terrarien in zwei Prozent der Haushalte ermittelt.</w:t>
      </w:r>
    </w:p>
    <w:p w:rsidR="00C87C8A" w:rsidRPr="00A95BA9" w:rsidRDefault="00C87C8A"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 xml:space="preserve">Mehr </w:t>
      </w:r>
      <w:r w:rsidR="006007EC" w:rsidRPr="00A95BA9">
        <w:rPr>
          <w:rFonts w:ascii="Arial" w:hAnsi="Arial" w:cs="Arial"/>
          <w:b/>
          <w:sz w:val="22"/>
          <w:szCs w:val="22"/>
        </w:rPr>
        <w:t>Heimtier</w:t>
      </w:r>
      <w:r w:rsidRPr="00A95BA9">
        <w:rPr>
          <w:rFonts w:ascii="Arial" w:hAnsi="Arial" w:cs="Arial"/>
          <w:b/>
          <w:sz w:val="22"/>
          <w:szCs w:val="22"/>
        </w:rPr>
        <w:t>e in Ein</w:t>
      </w:r>
      <w:r w:rsidR="006007EC" w:rsidRPr="00A95BA9">
        <w:rPr>
          <w:rFonts w:ascii="Arial" w:hAnsi="Arial" w:cs="Arial"/>
          <w:b/>
          <w:sz w:val="22"/>
          <w:szCs w:val="22"/>
        </w:rPr>
        <w:t>personenhaushalten</w:t>
      </w:r>
    </w:p>
    <w:p w:rsidR="006007EC" w:rsidRPr="00A95BA9" w:rsidRDefault="008B42B8"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Die meisten Heimtiere leben in Mehrpersonenhaushalten. A</w:t>
      </w:r>
      <w:r w:rsidR="00ED221C" w:rsidRPr="00A95BA9">
        <w:rPr>
          <w:rFonts w:ascii="Arial" w:hAnsi="Arial" w:cs="Arial"/>
          <w:sz w:val="22"/>
          <w:szCs w:val="22"/>
        </w:rPr>
        <w:t>llerdings ist</w:t>
      </w:r>
      <w:r w:rsidRPr="00A95BA9">
        <w:rPr>
          <w:rFonts w:ascii="Arial" w:hAnsi="Arial" w:cs="Arial"/>
          <w:sz w:val="22"/>
          <w:szCs w:val="22"/>
        </w:rPr>
        <w:t xml:space="preserve"> i</w:t>
      </w:r>
      <w:r w:rsidR="006007EC" w:rsidRPr="00A95BA9">
        <w:rPr>
          <w:rFonts w:ascii="Arial" w:hAnsi="Arial" w:cs="Arial"/>
          <w:sz w:val="22"/>
          <w:szCs w:val="22"/>
        </w:rPr>
        <w:t>m vergangenen Jahr</w:t>
      </w:r>
      <w:r w:rsidR="00CE5BA8" w:rsidRPr="00A95BA9">
        <w:rPr>
          <w:rFonts w:ascii="Arial" w:hAnsi="Arial" w:cs="Arial"/>
          <w:sz w:val="22"/>
          <w:szCs w:val="22"/>
        </w:rPr>
        <w:t xml:space="preserve"> </w:t>
      </w:r>
      <w:r w:rsidRPr="00A95BA9">
        <w:rPr>
          <w:rFonts w:ascii="Arial" w:hAnsi="Arial" w:cs="Arial"/>
          <w:sz w:val="22"/>
          <w:szCs w:val="22"/>
        </w:rPr>
        <w:t xml:space="preserve">der Anteil von Einpersonenhaushalten auf </w:t>
      </w:r>
      <w:r w:rsidR="00CE5BA8" w:rsidRPr="00A95BA9">
        <w:rPr>
          <w:rFonts w:ascii="Arial" w:hAnsi="Arial" w:cs="Arial"/>
          <w:sz w:val="22"/>
          <w:szCs w:val="22"/>
        </w:rPr>
        <w:t>32</w:t>
      </w:r>
      <w:r w:rsidR="006007EC" w:rsidRPr="00A95BA9">
        <w:rPr>
          <w:rFonts w:ascii="Arial" w:hAnsi="Arial" w:cs="Arial"/>
          <w:sz w:val="22"/>
          <w:szCs w:val="22"/>
        </w:rPr>
        <w:t xml:space="preserve"> Prozent </w:t>
      </w:r>
      <w:r w:rsidRPr="00A95BA9">
        <w:rPr>
          <w:rFonts w:ascii="Arial" w:hAnsi="Arial" w:cs="Arial"/>
          <w:sz w:val="22"/>
          <w:szCs w:val="22"/>
        </w:rPr>
        <w:t>gestiegen</w:t>
      </w:r>
      <w:r w:rsidR="00CE5BA8" w:rsidRPr="00A95BA9">
        <w:rPr>
          <w:rFonts w:ascii="Arial" w:hAnsi="Arial" w:cs="Arial"/>
          <w:sz w:val="22"/>
          <w:szCs w:val="22"/>
        </w:rPr>
        <w:t xml:space="preserve"> (2017</w:t>
      </w:r>
      <w:r w:rsidR="006007EC" w:rsidRPr="00A95BA9">
        <w:rPr>
          <w:rFonts w:ascii="Arial" w:hAnsi="Arial" w:cs="Arial"/>
          <w:sz w:val="22"/>
          <w:szCs w:val="22"/>
        </w:rPr>
        <w:t xml:space="preserve">: </w:t>
      </w:r>
      <w:r w:rsidR="00CE5BA8" w:rsidRPr="00A95BA9">
        <w:rPr>
          <w:rFonts w:ascii="Arial" w:hAnsi="Arial" w:cs="Arial"/>
          <w:sz w:val="22"/>
          <w:szCs w:val="22"/>
        </w:rPr>
        <w:t>30 Prozent)</w:t>
      </w:r>
      <w:r w:rsidR="00C87C8A" w:rsidRPr="00A95BA9">
        <w:rPr>
          <w:rFonts w:ascii="Arial" w:hAnsi="Arial" w:cs="Arial"/>
          <w:sz w:val="22"/>
          <w:szCs w:val="22"/>
        </w:rPr>
        <w:t xml:space="preserve">. </w:t>
      </w:r>
      <w:r w:rsidRPr="00A95BA9">
        <w:rPr>
          <w:rFonts w:ascii="Arial" w:hAnsi="Arial" w:cs="Arial"/>
          <w:sz w:val="22"/>
          <w:szCs w:val="22"/>
        </w:rPr>
        <w:t xml:space="preserve">Sowohl </w:t>
      </w:r>
      <w:r w:rsidR="003418AA" w:rsidRPr="00A95BA9">
        <w:rPr>
          <w:rFonts w:ascii="Arial" w:hAnsi="Arial" w:cs="Arial"/>
          <w:sz w:val="22"/>
          <w:szCs w:val="22"/>
        </w:rPr>
        <w:t>der Anteil an</w:t>
      </w:r>
      <w:r w:rsidR="00CE5BA8" w:rsidRPr="00A95BA9">
        <w:rPr>
          <w:rFonts w:ascii="Arial" w:hAnsi="Arial" w:cs="Arial"/>
          <w:sz w:val="22"/>
          <w:szCs w:val="22"/>
        </w:rPr>
        <w:t xml:space="preserve"> </w:t>
      </w:r>
      <w:r w:rsidR="006007EC" w:rsidRPr="00A95BA9">
        <w:rPr>
          <w:rFonts w:ascii="Arial" w:hAnsi="Arial" w:cs="Arial"/>
          <w:sz w:val="22"/>
          <w:szCs w:val="22"/>
        </w:rPr>
        <w:t>Zweipersonenhaushalte</w:t>
      </w:r>
      <w:r w:rsidR="003418AA" w:rsidRPr="00A95BA9">
        <w:rPr>
          <w:rFonts w:ascii="Arial" w:hAnsi="Arial" w:cs="Arial"/>
          <w:sz w:val="22"/>
          <w:szCs w:val="22"/>
        </w:rPr>
        <w:t>n</w:t>
      </w:r>
      <w:r w:rsidR="00430CBC" w:rsidRPr="00A95BA9">
        <w:rPr>
          <w:rFonts w:ascii="Arial" w:hAnsi="Arial" w:cs="Arial"/>
          <w:sz w:val="22"/>
          <w:szCs w:val="22"/>
        </w:rPr>
        <w:t xml:space="preserve"> </w:t>
      </w:r>
      <w:r w:rsidR="003418AA" w:rsidRPr="00A95BA9">
        <w:rPr>
          <w:rFonts w:ascii="Arial" w:hAnsi="Arial" w:cs="Arial"/>
          <w:sz w:val="22"/>
          <w:szCs w:val="22"/>
        </w:rPr>
        <w:t>mit Heimtieren</w:t>
      </w:r>
      <w:r w:rsidR="00CE5BA8" w:rsidRPr="00A95BA9">
        <w:rPr>
          <w:rFonts w:ascii="Arial" w:hAnsi="Arial" w:cs="Arial"/>
          <w:sz w:val="22"/>
          <w:szCs w:val="22"/>
        </w:rPr>
        <w:t xml:space="preserve"> </w:t>
      </w:r>
      <w:r w:rsidRPr="00A95BA9">
        <w:rPr>
          <w:rFonts w:ascii="Arial" w:hAnsi="Arial" w:cs="Arial"/>
          <w:sz w:val="22"/>
          <w:szCs w:val="22"/>
        </w:rPr>
        <w:t xml:space="preserve">als auch </w:t>
      </w:r>
      <w:r w:rsidR="003418AA" w:rsidRPr="00A95BA9">
        <w:rPr>
          <w:rFonts w:ascii="Arial" w:hAnsi="Arial" w:cs="Arial"/>
          <w:sz w:val="22"/>
          <w:szCs w:val="22"/>
        </w:rPr>
        <w:t xml:space="preserve">der von tierhaltenden </w:t>
      </w:r>
      <w:r w:rsidR="00C87C8A" w:rsidRPr="00A95BA9">
        <w:rPr>
          <w:rFonts w:ascii="Arial" w:hAnsi="Arial" w:cs="Arial"/>
          <w:sz w:val="22"/>
          <w:szCs w:val="22"/>
        </w:rPr>
        <w:t>Haushalte</w:t>
      </w:r>
      <w:r w:rsidR="002B3621">
        <w:rPr>
          <w:rFonts w:ascii="Arial" w:hAnsi="Arial" w:cs="Arial"/>
          <w:sz w:val="22"/>
          <w:szCs w:val="22"/>
        </w:rPr>
        <w:t>n</w:t>
      </w:r>
      <w:r w:rsidR="00C87C8A" w:rsidRPr="00A95BA9">
        <w:rPr>
          <w:rFonts w:ascii="Arial" w:hAnsi="Arial" w:cs="Arial"/>
          <w:sz w:val="22"/>
          <w:szCs w:val="22"/>
        </w:rPr>
        <w:t xml:space="preserve"> mit </w:t>
      </w:r>
      <w:r w:rsidR="00CE5BA8" w:rsidRPr="00A95BA9">
        <w:rPr>
          <w:rFonts w:ascii="Arial" w:hAnsi="Arial" w:cs="Arial"/>
          <w:sz w:val="22"/>
          <w:szCs w:val="22"/>
        </w:rPr>
        <w:t>drei Personen und mehr</w:t>
      </w:r>
      <w:r w:rsidR="006007EC" w:rsidRPr="00A95BA9">
        <w:rPr>
          <w:rFonts w:ascii="Arial" w:hAnsi="Arial" w:cs="Arial"/>
          <w:sz w:val="22"/>
          <w:szCs w:val="22"/>
        </w:rPr>
        <w:t xml:space="preserve"> </w:t>
      </w:r>
      <w:r w:rsidR="00C87C8A" w:rsidRPr="00A95BA9">
        <w:rPr>
          <w:rFonts w:ascii="Arial" w:hAnsi="Arial" w:cs="Arial"/>
          <w:sz w:val="22"/>
          <w:szCs w:val="22"/>
        </w:rPr>
        <w:t>ging</w:t>
      </w:r>
      <w:r w:rsidR="00371F3E" w:rsidRPr="00A95BA9">
        <w:rPr>
          <w:rFonts w:ascii="Arial" w:hAnsi="Arial" w:cs="Arial"/>
          <w:sz w:val="22"/>
          <w:szCs w:val="22"/>
        </w:rPr>
        <w:t xml:space="preserve"> von 35 auf 34 Prozent zurück.</w:t>
      </w:r>
    </w:p>
    <w:p w:rsidR="00FC1CD6" w:rsidRPr="00A95BA9" w:rsidRDefault="00E56802" w:rsidP="00C922FE">
      <w:pPr>
        <w:spacing w:before="120" w:after="120" w:line="360" w:lineRule="auto"/>
        <w:ind w:right="1134"/>
        <w:jc w:val="both"/>
        <w:rPr>
          <w:rFonts w:ascii="Arial" w:hAnsi="Arial" w:cs="Arial"/>
          <w:b/>
          <w:sz w:val="22"/>
          <w:szCs w:val="22"/>
        </w:rPr>
      </w:pPr>
      <w:r w:rsidRPr="00A95BA9">
        <w:rPr>
          <w:rFonts w:ascii="Arial" w:hAnsi="Arial" w:cs="Arial"/>
          <w:b/>
          <w:sz w:val="22"/>
          <w:szCs w:val="22"/>
        </w:rPr>
        <w:t xml:space="preserve">Mehr ältere als jüngere </w:t>
      </w:r>
      <w:r w:rsidR="00FC1CD6" w:rsidRPr="00A95BA9">
        <w:rPr>
          <w:rFonts w:ascii="Arial" w:hAnsi="Arial" w:cs="Arial"/>
          <w:b/>
          <w:sz w:val="22"/>
          <w:szCs w:val="22"/>
        </w:rPr>
        <w:t>Heimtier</w:t>
      </w:r>
      <w:r w:rsidRPr="00A95BA9">
        <w:rPr>
          <w:rFonts w:ascii="Arial" w:hAnsi="Arial" w:cs="Arial"/>
          <w:b/>
          <w:sz w:val="22"/>
          <w:szCs w:val="22"/>
        </w:rPr>
        <w:t>halter</w:t>
      </w:r>
    </w:p>
    <w:p w:rsidR="00264054" w:rsidRPr="00A95BA9" w:rsidRDefault="00612A9A"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Viele</w:t>
      </w:r>
      <w:r w:rsidR="008B42B8" w:rsidRPr="00A95BA9">
        <w:rPr>
          <w:rFonts w:ascii="Arial" w:hAnsi="Arial" w:cs="Arial"/>
          <w:sz w:val="22"/>
          <w:szCs w:val="22"/>
        </w:rPr>
        <w:t xml:space="preserve"> Heimtierhalter befinden sich in ihrer Lebensmitte: </w:t>
      </w:r>
      <w:r w:rsidR="00EE02E9" w:rsidRPr="00A95BA9">
        <w:rPr>
          <w:rFonts w:ascii="Arial" w:hAnsi="Arial" w:cs="Arial"/>
          <w:sz w:val="22"/>
          <w:szCs w:val="22"/>
        </w:rPr>
        <w:t xml:space="preserve">19 Prozent </w:t>
      </w:r>
      <w:r w:rsidR="008B42B8" w:rsidRPr="00A95BA9">
        <w:rPr>
          <w:rFonts w:ascii="Arial" w:hAnsi="Arial" w:cs="Arial"/>
          <w:sz w:val="22"/>
          <w:szCs w:val="22"/>
        </w:rPr>
        <w:t xml:space="preserve">der Tierhalter sind </w:t>
      </w:r>
      <w:r w:rsidR="00EE02E9" w:rsidRPr="00A95BA9">
        <w:rPr>
          <w:rFonts w:ascii="Arial" w:hAnsi="Arial" w:cs="Arial"/>
          <w:sz w:val="22"/>
          <w:szCs w:val="22"/>
        </w:rPr>
        <w:t>40 bis 49</w:t>
      </w:r>
      <w:r w:rsidRPr="00A95BA9">
        <w:rPr>
          <w:rFonts w:ascii="Arial" w:hAnsi="Arial" w:cs="Arial"/>
          <w:sz w:val="22"/>
          <w:szCs w:val="22"/>
        </w:rPr>
        <w:t xml:space="preserve"> Jahre alt</w:t>
      </w:r>
      <w:r w:rsidR="00EE02E9" w:rsidRPr="00A95BA9">
        <w:rPr>
          <w:rFonts w:ascii="Arial" w:hAnsi="Arial" w:cs="Arial"/>
          <w:sz w:val="22"/>
          <w:szCs w:val="22"/>
        </w:rPr>
        <w:t xml:space="preserve"> </w:t>
      </w:r>
      <w:r w:rsidR="00247E72" w:rsidRPr="00A95BA9">
        <w:rPr>
          <w:rFonts w:ascii="Arial" w:hAnsi="Arial" w:cs="Arial"/>
          <w:sz w:val="22"/>
          <w:szCs w:val="22"/>
        </w:rPr>
        <w:t>(2017:</w:t>
      </w:r>
      <w:r w:rsidR="00C87C8A" w:rsidRPr="00A95BA9">
        <w:rPr>
          <w:rFonts w:ascii="Arial" w:hAnsi="Arial" w:cs="Arial"/>
          <w:sz w:val="22"/>
          <w:szCs w:val="22"/>
        </w:rPr>
        <w:t xml:space="preserve"> </w:t>
      </w:r>
      <w:r w:rsidR="00B8535B" w:rsidRPr="00A95BA9">
        <w:rPr>
          <w:rFonts w:ascii="Arial" w:hAnsi="Arial" w:cs="Arial"/>
          <w:sz w:val="22"/>
          <w:szCs w:val="22"/>
        </w:rPr>
        <w:t>19 Prozent)</w:t>
      </w:r>
      <w:r w:rsidR="00E56802" w:rsidRPr="00A95BA9">
        <w:rPr>
          <w:rFonts w:ascii="Arial" w:hAnsi="Arial" w:cs="Arial"/>
          <w:sz w:val="22"/>
          <w:szCs w:val="22"/>
        </w:rPr>
        <w:t>,</w:t>
      </w:r>
      <w:r w:rsidR="00FC1CD6" w:rsidRPr="00A95BA9">
        <w:rPr>
          <w:rFonts w:ascii="Arial" w:hAnsi="Arial" w:cs="Arial"/>
          <w:sz w:val="22"/>
          <w:szCs w:val="22"/>
        </w:rPr>
        <w:t xml:space="preserve"> </w:t>
      </w:r>
      <w:r w:rsidR="00EE02E9" w:rsidRPr="00A95BA9">
        <w:rPr>
          <w:rFonts w:ascii="Arial" w:hAnsi="Arial" w:cs="Arial"/>
          <w:sz w:val="22"/>
          <w:szCs w:val="22"/>
        </w:rPr>
        <w:t xml:space="preserve">22 Prozent </w:t>
      </w:r>
      <w:r w:rsidRPr="00A95BA9">
        <w:rPr>
          <w:rFonts w:ascii="Arial" w:hAnsi="Arial" w:cs="Arial"/>
          <w:sz w:val="22"/>
          <w:szCs w:val="22"/>
        </w:rPr>
        <w:t xml:space="preserve">zählen zu den </w:t>
      </w:r>
      <w:r w:rsidR="00EE02E9" w:rsidRPr="00A95BA9">
        <w:rPr>
          <w:rFonts w:ascii="Arial" w:hAnsi="Arial" w:cs="Arial"/>
          <w:sz w:val="22"/>
          <w:szCs w:val="22"/>
        </w:rPr>
        <w:t>50</w:t>
      </w:r>
      <w:r w:rsidR="002954ED">
        <w:rPr>
          <w:rFonts w:ascii="Arial" w:hAnsi="Arial" w:cs="Arial"/>
          <w:sz w:val="22"/>
          <w:szCs w:val="22"/>
        </w:rPr>
        <w:t>-</w:t>
      </w:r>
      <w:r w:rsidR="00EE02E9" w:rsidRPr="00A95BA9">
        <w:rPr>
          <w:rFonts w:ascii="Arial" w:hAnsi="Arial" w:cs="Arial"/>
          <w:sz w:val="22"/>
          <w:szCs w:val="22"/>
        </w:rPr>
        <w:t xml:space="preserve"> bis 59</w:t>
      </w:r>
      <w:r w:rsidR="00247E72" w:rsidRPr="00A95BA9">
        <w:rPr>
          <w:rFonts w:ascii="Arial" w:hAnsi="Arial" w:cs="Arial"/>
          <w:sz w:val="22"/>
          <w:szCs w:val="22"/>
        </w:rPr>
        <w:t>-</w:t>
      </w:r>
      <w:r w:rsidR="00EE02E9" w:rsidRPr="00A95BA9">
        <w:rPr>
          <w:rFonts w:ascii="Arial" w:hAnsi="Arial" w:cs="Arial"/>
          <w:sz w:val="22"/>
          <w:szCs w:val="22"/>
        </w:rPr>
        <w:t>Jährige</w:t>
      </w:r>
      <w:r w:rsidR="00B8535B" w:rsidRPr="00A95BA9">
        <w:rPr>
          <w:rFonts w:ascii="Arial" w:hAnsi="Arial" w:cs="Arial"/>
          <w:sz w:val="22"/>
          <w:szCs w:val="22"/>
        </w:rPr>
        <w:t>n (2017: 21 Prozent)</w:t>
      </w:r>
      <w:r w:rsidR="00CE74FB" w:rsidRPr="00A95BA9">
        <w:rPr>
          <w:rFonts w:ascii="Arial" w:hAnsi="Arial" w:cs="Arial"/>
          <w:sz w:val="22"/>
          <w:szCs w:val="22"/>
        </w:rPr>
        <w:t xml:space="preserve"> und</w:t>
      </w:r>
      <w:r w:rsidR="00044A62">
        <w:rPr>
          <w:rFonts w:ascii="Arial" w:hAnsi="Arial" w:cs="Arial"/>
          <w:sz w:val="22"/>
          <w:szCs w:val="22"/>
        </w:rPr>
        <w:t xml:space="preserve"> </w:t>
      </w:r>
      <w:r w:rsidR="00E56802" w:rsidRPr="00A95BA9">
        <w:rPr>
          <w:rFonts w:ascii="Arial" w:hAnsi="Arial" w:cs="Arial"/>
          <w:sz w:val="22"/>
          <w:szCs w:val="22"/>
        </w:rPr>
        <w:t xml:space="preserve">27 Prozent </w:t>
      </w:r>
      <w:r w:rsidRPr="00A95BA9">
        <w:rPr>
          <w:rFonts w:ascii="Arial" w:hAnsi="Arial" w:cs="Arial"/>
          <w:sz w:val="22"/>
          <w:szCs w:val="22"/>
        </w:rPr>
        <w:t>der Tierhalter</w:t>
      </w:r>
      <w:r w:rsidR="002B3621">
        <w:rPr>
          <w:rFonts w:ascii="Arial" w:hAnsi="Arial" w:cs="Arial"/>
          <w:sz w:val="22"/>
          <w:szCs w:val="22"/>
        </w:rPr>
        <w:t xml:space="preserve"> </w:t>
      </w:r>
      <w:r w:rsidRPr="00A95BA9">
        <w:rPr>
          <w:rFonts w:ascii="Arial" w:hAnsi="Arial" w:cs="Arial"/>
          <w:sz w:val="22"/>
          <w:szCs w:val="22"/>
        </w:rPr>
        <w:t xml:space="preserve">sind über </w:t>
      </w:r>
      <w:r w:rsidR="00E56802" w:rsidRPr="00A95BA9">
        <w:rPr>
          <w:rFonts w:ascii="Arial" w:hAnsi="Arial" w:cs="Arial"/>
          <w:sz w:val="22"/>
          <w:szCs w:val="22"/>
        </w:rPr>
        <w:t>60</w:t>
      </w:r>
      <w:r w:rsidRPr="00A95BA9">
        <w:rPr>
          <w:rFonts w:ascii="Arial" w:hAnsi="Arial" w:cs="Arial"/>
          <w:sz w:val="22"/>
          <w:szCs w:val="22"/>
        </w:rPr>
        <w:t xml:space="preserve"> Jahre alt</w:t>
      </w:r>
      <w:r w:rsidR="00E56802" w:rsidRPr="00A95BA9">
        <w:rPr>
          <w:rFonts w:ascii="Arial" w:hAnsi="Arial" w:cs="Arial"/>
          <w:sz w:val="22"/>
          <w:szCs w:val="22"/>
        </w:rPr>
        <w:t xml:space="preserve"> (2017: 26 Prozent). </w:t>
      </w:r>
    </w:p>
    <w:p w:rsidR="00CE5BA8" w:rsidRPr="00A95BA9" w:rsidRDefault="00FC1CD6"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Mit 15 Prozent </w:t>
      </w:r>
      <w:r w:rsidR="00963F78" w:rsidRPr="00A95BA9">
        <w:rPr>
          <w:rFonts w:ascii="Arial" w:hAnsi="Arial" w:cs="Arial"/>
          <w:sz w:val="22"/>
          <w:szCs w:val="22"/>
        </w:rPr>
        <w:t xml:space="preserve">gehören die </w:t>
      </w:r>
      <w:r w:rsidRPr="00A95BA9">
        <w:rPr>
          <w:rFonts w:ascii="Arial" w:hAnsi="Arial" w:cs="Arial"/>
          <w:sz w:val="22"/>
          <w:szCs w:val="22"/>
        </w:rPr>
        <w:t>bis zu 29</w:t>
      </w:r>
      <w:r w:rsidR="00247E72" w:rsidRPr="00A95BA9">
        <w:rPr>
          <w:rFonts w:ascii="Arial" w:hAnsi="Arial" w:cs="Arial"/>
          <w:sz w:val="22"/>
          <w:szCs w:val="22"/>
        </w:rPr>
        <w:t>-</w:t>
      </w:r>
      <w:r w:rsidRPr="00A95BA9">
        <w:rPr>
          <w:rFonts w:ascii="Arial" w:hAnsi="Arial" w:cs="Arial"/>
          <w:sz w:val="22"/>
          <w:szCs w:val="22"/>
        </w:rPr>
        <w:t>Jährigen</w:t>
      </w:r>
      <w:r w:rsidR="00E56802" w:rsidRPr="00A95BA9">
        <w:rPr>
          <w:rFonts w:ascii="Arial" w:hAnsi="Arial" w:cs="Arial"/>
          <w:sz w:val="22"/>
          <w:szCs w:val="22"/>
        </w:rPr>
        <w:t>,</w:t>
      </w:r>
      <w:r w:rsidR="00B8535B" w:rsidRPr="00A95BA9">
        <w:rPr>
          <w:rFonts w:ascii="Arial" w:hAnsi="Arial" w:cs="Arial"/>
          <w:sz w:val="22"/>
          <w:szCs w:val="22"/>
        </w:rPr>
        <w:t xml:space="preserve"> wie im Vorjahr auch</w:t>
      </w:r>
      <w:r w:rsidR="00E56802" w:rsidRPr="00A95BA9">
        <w:rPr>
          <w:rFonts w:ascii="Arial" w:hAnsi="Arial" w:cs="Arial"/>
          <w:sz w:val="22"/>
          <w:szCs w:val="22"/>
        </w:rPr>
        <w:t>,</w:t>
      </w:r>
      <w:r w:rsidR="00B8535B" w:rsidRPr="00A95BA9">
        <w:rPr>
          <w:rFonts w:ascii="Arial" w:hAnsi="Arial" w:cs="Arial"/>
          <w:sz w:val="22"/>
          <w:szCs w:val="22"/>
        </w:rPr>
        <w:t xml:space="preserve"> zur </w:t>
      </w:r>
      <w:r w:rsidR="00247E72" w:rsidRPr="00A95BA9">
        <w:rPr>
          <w:rFonts w:ascii="Arial" w:hAnsi="Arial" w:cs="Arial"/>
          <w:sz w:val="22"/>
          <w:szCs w:val="22"/>
        </w:rPr>
        <w:t>kleinsten</w:t>
      </w:r>
      <w:r w:rsidR="00B8535B" w:rsidRPr="00A95BA9">
        <w:rPr>
          <w:rFonts w:ascii="Arial" w:hAnsi="Arial" w:cs="Arial"/>
          <w:sz w:val="22"/>
          <w:szCs w:val="22"/>
        </w:rPr>
        <w:t xml:space="preserve"> Gruppe der</w:t>
      </w:r>
      <w:r w:rsidR="00963F78" w:rsidRPr="00A95BA9">
        <w:rPr>
          <w:rFonts w:ascii="Arial" w:hAnsi="Arial" w:cs="Arial"/>
          <w:sz w:val="22"/>
          <w:szCs w:val="22"/>
        </w:rPr>
        <w:t xml:space="preserve"> H</w:t>
      </w:r>
      <w:r w:rsidR="00B8535B" w:rsidRPr="00A95BA9">
        <w:rPr>
          <w:rFonts w:ascii="Arial" w:hAnsi="Arial" w:cs="Arial"/>
          <w:sz w:val="22"/>
          <w:szCs w:val="22"/>
        </w:rPr>
        <w:t>eimtierhalter.</w:t>
      </w:r>
      <w:r w:rsidR="00E56802" w:rsidRPr="00A95BA9">
        <w:rPr>
          <w:rFonts w:ascii="Arial" w:hAnsi="Arial" w:cs="Arial"/>
          <w:sz w:val="22"/>
          <w:szCs w:val="22"/>
        </w:rPr>
        <w:t xml:space="preserve"> </w:t>
      </w:r>
      <w:r w:rsidR="00264054" w:rsidRPr="00A95BA9">
        <w:rPr>
          <w:rFonts w:ascii="Arial" w:hAnsi="Arial" w:cs="Arial"/>
          <w:sz w:val="22"/>
          <w:szCs w:val="22"/>
        </w:rPr>
        <w:t>Der Anteil</w:t>
      </w:r>
      <w:r w:rsidR="00E56802" w:rsidRPr="00A95BA9">
        <w:rPr>
          <w:rFonts w:ascii="Arial" w:hAnsi="Arial" w:cs="Arial"/>
          <w:sz w:val="22"/>
          <w:szCs w:val="22"/>
        </w:rPr>
        <w:t xml:space="preserve"> der 30- bis 39-</w:t>
      </w:r>
      <w:r w:rsidR="00691A8E" w:rsidRPr="00A95BA9">
        <w:rPr>
          <w:rFonts w:ascii="Arial" w:hAnsi="Arial" w:cs="Arial"/>
          <w:sz w:val="22"/>
          <w:szCs w:val="22"/>
        </w:rPr>
        <w:t>j</w:t>
      </w:r>
      <w:r w:rsidR="00E56802" w:rsidRPr="00A95BA9">
        <w:rPr>
          <w:rFonts w:ascii="Arial" w:hAnsi="Arial" w:cs="Arial"/>
          <w:sz w:val="22"/>
          <w:szCs w:val="22"/>
        </w:rPr>
        <w:t xml:space="preserve">ährigen </w:t>
      </w:r>
      <w:r w:rsidR="00691A8E" w:rsidRPr="00A95BA9">
        <w:rPr>
          <w:rFonts w:ascii="Arial" w:hAnsi="Arial" w:cs="Arial"/>
          <w:sz w:val="22"/>
          <w:szCs w:val="22"/>
        </w:rPr>
        <w:t xml:space="preserve">Heimtierhalter </w:t>
      </w:r>
      <w:r w:rsidR="00E56802" w:rsidRPr="00A95BA9">
        <w:rPr>
          <w:rFonts w:ascii="Arial" w:hAnsi="Arial" w:cs="Arial"/>
          <w:sz w:val="22"/>
          <w:szCs w:val="22"/>
        </w:rPr>
        <w:t>ist auf 17 Prozent ge</w:t>
      </w:r>
      <w:r w:rsidR="005B4848" w:rsidRPr="00A95BA9">
        <w:rPr>
          <w:rFonts w:ascii="Arial" w:hAnsi="Arial" w:cs="Arial"/>
          <w:sz w:val="22"/>
          <w:szCs w:val="22"/>
        </w:rPr>
        <w:t>sunken</w:t>
      </w:r>
      <w:r w:rsidR="00E56802" w:rsidRPr="00A95BA9">
        <w:rPr>
          <w:rFonts w:ascii="Arial" w:hAnsi="Arial" w:cs="Arial"/>
          <w:sz w:val="22"/>
          <w:szCs w:val="22"/>
        </w:rPr>
        <w:t xml:space="preserve"> (2017: 19 Prozent).</w:t>
      </w:r>
    </w:p>
    <w:p w:rsidR="00155C3A" w:rsidRPr="00A95BA9" w:rsidRDefault="00264054" w:rsidP="00C922FE">
      <w:pPr>
        <w:spacing w:before="120" w:after="120" w:line="360" w:lineRule="auto"/>
        <w:ind w:right="1134"/>
        <w:jc w:val="both"/>
        <w:rPr>
          <w:rFonts w:ascii="Arial" w:hAnsi="Arial" w:cs="Arial"/>
          <w:sz w:val="22"/>
          <w:szCs w:val="22"/>
        </w:rPr>
      </w:pPr>
      <w:r w:rsidRPr="00A95BA9">
        <w:rPr>
          <w:rFonts w:ascii="Arial" w:hAnsi="Arial" w:cs="Arial"/>
          <w:sz w:val="22"/>
          <w:szCs w:val="22"/>
        </w:rPr>
        <w:t xml:space="preserve">Die Marktentwicklung der Heimtierbranche und </w:t>
      </w:r>
      <w:r w:rsidR="006007EC" w:rsidRPr="00A95BA9">
        <w:rPr>
          <w:rFonts w:ascii="Arial" w:hAnsi="Arial" w:cs="Arial"/>
          <w:sz w:val="22"/>
          <w:szCs w:val="22"/>
        </w:rPr>
        <w:t xml:space="preserve">die konstante Zahl der Heimtiere in Deutschland zeigen, dass </w:t>
      </w:r>
      <w:r w:rsidRPr="00A95BA9">
        <w:rPr>
          <w:rFonts w:ascii="Arial" w:hAnsi="Arial" w:cs="Arial"/>
          <w:sz w:val="22"/>
          <w:szCs w:val="22"/>
        </w:rPr>
        <w:t xml:space="preserve">die Deutschen nach wie vor das Leben mit Heimtieren lieben und ihre Tiere sehr gerne pflegen und versorgen. </w:t>
      </w:r>
    </w:p>
    <w:p w:rsidR="005C2F18" w:rsidRPr="00A95BA9" w:rsidRDefault="005C2F18" w:rsidP="00361320">
      <w:pPr>
        <w:spacing w:before="120" w:after="120" w:line="300" w:lineRule="exact"/>
        <w:ind w:right="1134"/>
        <w:jc w:val="both"/>
        <w:rPr>
          <w:rFonts w:ascii="Arial" w:hAnsi="Arial" w:cs="Arial"/>
          <w:sz w:val="22"/>
          <w:szCs w:val="22"/>
        </w:rPr>
      </w:pPr>
    </w:p>
    <w:p w:rsidR="005C2F18" w:rsidRPr="00A95BA9" w:rsidRDefault="005C2F18" w:rsidP="00361320">
      <w:pPr>
        <w:spacing w:before="120" w:after="120" w:line="300" w:lineRule="exact"/>
        <w:ind w:right="1134"/>
        <w:jc w:val="both"/>
        <w:rPr>
          <w:rFonts w:ascii="Arial" w:hAnsi="Arial" w:cs="Arial"/>
          <w:sz w:val="22"/>
          <w:szCs w:val="22"/>
        </w:rPr>
      </w:pPr>
    </w:p>
    <w:p w:rsidR="009321C8" w:rsidRPr="00A95BA9" w:rsidRDefault="009321C8" w:rsidP="00361320">
      <w:pPr>
        <w:spacing w:before="120" w:after="120" w:line="300" w:lineRule="exact"/>
        <w:ind w:right="1134"/>
        <w:jc w:val="both"/>
        <w:rPr>
          <w:rFonts w:ascii="Arial" w:hAnsi="Arial" w:cs="Arial"/>
          <w:b/>
          <w:sz w:val="22"/>
          <w:szCs w:val="22"/>
        </w:rPr>
      </w:pPr>
    </w:p>
    <w:p w:rsidR="009C5AA3" w:rsidRPr="00A95BA9" w:rsidRDefault="00DC3F88" w:rsidP="00361320">
      <w:pPr>
        <w:spacing w:before="120" w:after="120" w:line="300" w:lineRule="exact"/>
        <w:ind w:right="1134"/>
        <w:jc w:val="both"/>
        <w:rPr>
          <w:rFonts w:ascii="Arial" w:hAnsi="Arial" w:cs="Arial"/>
          <w:b/>
          <w:sz w:val="22"/>
          <w:szCs w:val="22"/>
        </w:rPr>
      </w:pPr>
      <w:r w:rsidRPr="00A95BA9">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334010</wp:posOffset>
                </wp:positionV>
                <wp:extent cx="2301240" cy="1551940"/>
                <wp:effectExtent l="0" t="0" r="63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551940"/>
                        </a:xfrm>
                        <a:prstGeom prst="rect">
                          <a:avLst/>
                        </a:prstGeom>
                        <a:solidFill>
                          <a:srgbClr val="FFFFFF"/>
                        </a:solidFill>
                        <a:ln w="9525">
                          <a:noFill/>
                          <a:miter lim="800000"/>
                          <a:headEnd/>
                          <a:tailEnd/>
                        </a:ln>
                      </wps:spPr>
                      <wps:txbx>
                        <w:txbxContent>
                          <w:p w:rsidR="008253AB" w:rsidRPr="00CC71C2" w:rsidRDefault="008253AB">
                            <w:pPr>
                              <w:rPr>
                                <w:rFonts w:ascii="Arial" w:hAnsi="Arial" w:cs="Arial"/>
                                <w:sz w:val="20"/>
                              </w:rPr>
                            </w:pPr>
                            <w:r w:rsidRPr="00CC71C2">
                              <w:rPr>
                                <w:rFonts w:ascii="Arial" w:hAnsi="Arial" w:cs="Arial"/>
                                <w:sz w:val="20"/>
                              </w:rPr>
                              <w:t>IVH-Pressedienst</w:t>
                            </w:r>
                          </w:p>
                          <w:p w:rsidR="000628F5" w:rsidRDefault="000628F5" w:rsidP="000628F5">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13314">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C616A7">
                            <w:pPr>
                              <w:rPr>
                                <w:rFonts w:ascii="Arial" w:hAnsi="Arial" w:cs="Arial"/>
                                <w:sz w:val="20"/>
                              </w:rPr>
                            </w:pPr>
                            <w:hyperlink r:id="rId10" w:history="1">
                              <w:r w:rsidR="008253AB" w:rsidRPr="003730CC">
                                <w:rPr>
                                  <w:rStyle w:val="Hyperlink"/>
                                  <w:rFonts w:ascii="Arial" w:hAnsi="Arial" w:cs="Arial"/>
                                  <w:sz w:val="20"/>
                                </w:rPr>
                                <w:t>detlev.nolte@nolte-pr.de</w:t>
                              </w:r>
                            </w:hyperlink>
                          </w:p>
                          <w:p w:rsidR="008253AB" w:rsidRPr="00CC71C2" w:rsidRDefault="00C616A7">
                            <w:pPr>
                              <w:rPr>
                                <w:rFonts w:ascii="Arial" w:hAnsi="Arial" w:cs="Arial"/>
                                <w:sz w:val="20"/>
                              </w:rPr>
                            </w:pPr>
                            <w:hyperlink r:id="rId11"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6pt;margin-top:26.3pt;width:181.2pt;height:122.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" stroked="f">
                <v:textbox style="mso-fit-shape-to-text:t">
                  <w:txbxContent>
                    <w:p w:rsidR="008253AB" w:rsidRPr="00CC71C2" w:rsidRDefault="008253AB">
                      <w:pPr>
                        <w:rPr>
                          <w:rFonts w:ascii="Arial" w:hAnsi="Arial" w:cs="Arial"/>
                          <w:sz w:val="20"/>
                        </w:rPr>
                      </w:pPr>
                      <w:r w:rsidRPr="00CC71C2">
                        <w:rPr>
                          <w:rFonts w:ascii="Arial" w:hAnsi="Arial" w:cs="Arial"/>
                          <w:sz w:val="20"/>
                        </w:rPr>
                        <w:t>IVH-Pressedienst</w:t>
                      </w:r>
                    </w:p>
                    <w:p w:rsidR="000628F5" w:rsidRDefault="000628F5" w:rsidP="000628F5">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13314">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2954ED">
                      <w:pPr>
                        <w:rPr>
                          <w:rFonts w:ascii="Arial" w:hAnsi="Arial" w:cs="Arial"/>
                          <w:sz w:val="20"/>
                        </w:rPr>
                      </w:pPr>
                      <w:hyperlink r:id="rId12" w:history="1">
                        <w:r w:rsidR="008253AB" w:rsidRPr="003730CC">
                          <w:rPr>
                            <w:rStyle w:val="Hyperlink"/>
                            <w:rFonts w:ascii="Arial" w:hAnsi="Arial" w:cs="Arial"/>
                            <w:sz w:val="20"/>
                          </w:rPr>
                          <w:t>detlev.nolte@nolte-pr.de</w:t>
                        </w:r>
                      </w:hyperlink>
                    </w:p>
                    <w:p w:rsidR="008253AB" w:rsidRPr="00CC71C2" w:rsidRDefault="002954ED">
                      <w:pPr>
                        <w:rPr>
                          <w:rFonts w:ascii="Arial" w:hAnsi="Arial" w:cs="Arial"/>
                          <w:sz w:val="20"/>
                        </w:rPr>
                      </w:pPr>
                      <w:hyperlink r:id="rId13" w:history="1"/>
                      <w:r w:rsidR="008253AB" w:rsidRPr="00CC71C2">
                        <w:rPr>
                          <w:rFonts w:ascii="Arial" w:hAnsi="Arial" w:cs="Arial"/>
                          <w:sz w:val="20"/>
                        </w:rPr>
                        <w:t>www.ivh-online.de</w:t>
                      </w:r>
                    </w:p>
                  </w:txbxContent>
                </v:textbox>
              </v:shape>
            </w:pict>
          </mc:Fallback>
        </mc:AlternateContent>
      </w:r>
      <w:r w:rsidR="009C5AA3" w:rsidRPr="00A95BA9">
        <w:rPr>
          <w:rFonts w:ascii="Arial" w:hAnsi="Arial" w:cs="Arial"/>
          <w:b/>
          <w:sz w:val="22"/>
          <w:szCs w:val="22"/>
        </w:rPr>
        <w:t>Kontakt für Rückfragen:</w:t>
      </w:r>
    </w:p>
    <w:p w:rsidR="00F41FE5" w:rsidRPr="00395A27" w:rsidRDefault="00DC3F88" w:rsidP="00F41FE5">
      <w:pPr>
        <w:autoSpaceDE w:val="0"/>
        <w:autoSpaceDN w:val="0"/>
        <w:adjustRightInd w:val="0"/>
        <w:rPr>
          <w:rFonts w:ascii="Arial" w:eastAsia="Gulim" w:hAnsi="Arial" w:cs="Arial"/>
          <w:sz w:val="22"/>
          <w:szCs w:val="22"/>
          <w:lang w:val="fr-FR"/>
        </w:rPr>
      </w:pPr>
      <w:r w:rsidRPr="00A95BA9">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59690</wp:posOffset>
                </wp:positionV>
                <wp:extent cx="3717925" cy="14058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C616A7"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2954ED" w:rsidP="00F41FE5">
                      <w:pPr>
                        <w:rPr>
                          <w:rFonts w:ascii="Arial" w:hAnsi="Arial" w:cs="Arial"/>
                          <w:sz w:val="20"/>
                        </w:rPr>
                      </w:pPr>
                      <w:hyperlink r:id="rId15"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AB" w:rsidRDefault="006525AB" w:rsidP="00530DF2">
      <w:r>
        <w:separator/>
      </w:r>
    </w:p>
  </w:endnote>
  <w:endnote w:type="continuationSeparator" w:id="0">
    <w:p w:rsidR="006525AB" w:rsidRDefault="006525AB"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520294711"/>
      <w:docPartObj>
        <w:docPartGallery w:val="Page Numbers (Bottom of Page)"/>
        <w:docPartUnique/>
      </w:docPartObj>
    </w:sdtPr>
    <w:sdtEndPr/>
    <w:sdtContent>
      <w:p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C616A7">
          <w:rPr>
            <w:rFonts w:ascii="Arial" w:hAnsi="Arial" w:cs="Arial"/>
            <w:noProof/>
            <w:sz w:val="20"/>
          </w:rPr>
          <w:t>3</w:t>
        </w:r>
        <w:r w:rsidRPr="004B2066">
          <w:rPr>
            <w:rFonts w:ascii="Arial" w:hAnsi="Arial" w:cs="Arial"/>
            <w:sz w:val="20"/>
          </w:rPr>
          <w:fldChar w:fldCharType="end"/>
        </w:r>
      </w:p>
    </w:sdtContent>
  </w:sdt>
  <w:p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AB" w:rsidRDefault="006525AB" w:rsidP="00530DF2">
      <w:r>
        <w:separator/>
      </w:r>
    </w:p>
  </w:footnote>
  <w:footnote w:type="continuationSeparator" w:id="0">
    <w:p w:rsidR="006525AB" w:rsidRDefault="006525AB"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2B"/>
    <w:rsid w:val="000073BE"/>
    <w:rsid w:val="00012BAA"/>
    <w:rsid w:val="0001633D"/>
    <w:rsid w:val="00021B2F"/>
    <w:rsid w:val="00024320"/>
    <w:rsid w:val="000379CA"/>
    <w:rsid w:val="000418C7"/>
    <w:rsid w:val="0004494C"/>
    <w:rsid w:val="00044A62"/>
    <w:rsid w:val="0004690C"/>
    <w:rsid w:val="000525BB"/>
    <w:rsid w:val="00053F98"/>
    <w:rsid w:val="000546EF"/>
    <w:rsid w:val="00057D2B"/>
    <w:rsid w:val="00057FB5"/>
    <w:rsid w:val="000628F5"/>
    <w:rsid w:val="00062BD2"/>
    <w:rsid w:val="00076AF8"/>
    <w:rsid w:val="00085BBF"/>
    <w:rsid w:val="000869B5"/>
    <w:rsid w:val="00090448"/>
    <w:rsid w:val="00091ECB"/>
    <w:rsid w:val="000964BB"/>
    <w:rsid w:val="000B32BF"/>
    <w:rsid w:val="000B3DE2"/>
    <w:rsid w:val="000C25B0"/>
    <w:rsid w:val="000C466C"/>
    <w:rsid w:val="000C6891"/>
    <w:rsid w:val="000D12AF"/>
    <w:rsid w:val="000D4210"/>
    <w:rsid w:val="000D675D"/>
    <w:rsid w:val="000E6036"/>
    <w:rsid w:val="000F16DB"/>
    <w:rsid w:val="000F2EF3"/>
    <w:rsid w:val="00111EDC"/>
    <w:rsid w:val="00116FFA"/>
    <w:rsid w:val="00120B6A"/>
    <w:rsid w:val="001260E2"/>
    <w:rsid w:val="00135C2A"/>
    <w:rsid w:val="00137B45"/>
    <w:rsid w:val="00146B52"/>
    <w:rsid w:val="0015114E"/>
    <w:rsid w:val="00155206"/>
    <w:rsid w:val="00155C3A"/>
    <w:rsid w:val="00162862"/>
    <w:rsid w:val="00162FEC"/>
    <w:rsid w:val="0016391C"/>
    <w:rsid w:val="001679E3"/>
    <w:rsid w:val="0017013D"/>
    <w:rsid w:val="0017052A"/>
    <w:rsid w:val="00175576"/>
    <w:rsid w:val="0017580B"/>
    <w:rsid w:val="00197A8C"/>
    <w:rsid w:val="00197B37"/>
    <w:rsid w:val="001A3617"/>
    <w:rsid w:val="001A762A"/>
    <w:rsid w:val="001A7DEA"/>
    <w:rsid w:val="001B32BF"/>
    <w:rsid w:val="001B5FC4"/>
    <w:rsid w:val="001B706D"/>
    <w:rsid w:val="001C0630"/>
    <w:rsid w:val="001C3F20"/>
    <w:rsid w:val="001C4177"/>
    <w:rsid w:val="001C6311"/>
    <w:rsid w:val="001D072C"/>
    <w:rsid w:val="001D194A"/>
    <w:rsid w:val="001D230D"/>
    <w:rsid w:val="001D7969"/>
    <w:rsid w:val="001E0B27"/>
    <w:rsid w:val="001E3FB2"/>
    <w:rsid w:val="001E508D"/>
    <w:rsid w:val="001F52F2"/>
    <w:rsid w:val="001F671B"/>
    <w:rsid w:val="002112E9"/>
    <w:rsid w:val="00216512"/>
    <w:rsid w:val="002167EC"/>
    <w:rsid w:val="0023100D"/>
    <w:rsid w:val="00232076"/>
    <w:rsid w:val="002375DC"/>
    <w:rsid w:val="00246D46"/>
    <w:rsid w:val="00247E72"/>
    <w:rsid w:val="002544FB"/>
    <w:rsid w:val="00263CC7"/>
    <w:rsid w:val="00264054"/>
    <w:rsid w:val="002649BA"/>
    <w:rsid w:val="00265D1C"/>
    <w:rsid w:val="002756E6"/>
    <w:rsid w:val="0028315E"/>
    <w:rsid w:val="00286C86"/>
    <w:rsid w:val="00291688"/>
    <w:rsid w:val="00292233"/>
    <w:rsid w:val="002926CB"/>
    <w:rsid w:val="002954ED"/>
    <w:rsid w:val="002A423A"/>
    <w:rsid w:val="002A5CCF"/>
    <w:rsid w:val="002B3621"/>
    <w:rsid w:val="002B56E8"/>
    <w:rsid w:val="002B7A11"/>
    <w:rsid w:val="002C12E0"/>
    <w:rsid w:val="002C5683"/>
    <w:rsid w:val="002D0337"/>
    <w:rsid w:val="002D14E3"/>
    <w:rsid w:val="002D1A75"/>
    <w:rsid w:val="002D72DA"/>
    <w:rsid w:val="002D7E54"/>
    <w:rsid w:val="002E427F"/>
    <w:rsid w:val="00300690"/>
    <w:rsid w:val="00315D78"/>
    <w:rsid w:val="003163B1"/>
    <w:rsid w:val="00316CD7"/>
    <w:rsid w:val="003175D7"/>
    <w:rsid w:val="00320D8A"/>
    <w:rsid w:val="00320E40"/>
    <w:rsid w:val="00323853"/>
    <w:rsid w:val="00327DF8"/>
    <w:rsid w:val="0033036F"/>
    <w:rsid w:val="003329F1"/>
    <w:rsid w:val="00332B65"/>
    <w:rsid w:val="00333F7F"/>
    <w:rsid w:val="003418AA"/>
    <w:rsid w:val="003456AD"/>
    <w:rsid w:val="003469BD"/>
    <w:rsid w:val="00346AAC"/>
    <w:rsid w:val="00352356"/>
    <w:rsid w:val="00353CAE"/>
    <w:rsid w:val="00357929"/>
    <w:rsid w:val="00357972"/>
    <w:rsid w:val="00361320"/>
    <w:rsid w:val="00371F3E"/>
    <w:rsid w:val="00376596"/>
    <w:rsid w:val="003802E4"/>
    <w:rsid w:val="003847DD"/>
    <w:rsid w:val="00392C14"/>
    <w:rsid w:val="00392D61"/>
    <w:rsid w:val="00395A27"/>
    <w:rsid w:val="003A6312"/>
    <w:rsid w:val="003A7BDC"/>
    <w:rsid w:val="003B2266"/>
    <w:rsid w:val="003B46A8"/>
    <w:rsid w:val="003B65CA"/>
    <w:rsid w:val="003C66DA"/>
    <w:rsid w:val="003D06A7"/>
    <w:rsid w:val="003D2B6A"/>
    <w:rsid w:val="003D67C6"/>
    <w:rsid w:val="003E296A"/>
    <w:rsid w:val="003E4608"/>
    <w:rsid w:val="003F0BE2"/>
    <w:rsid w:val="00400EE8"/>
    <w:rsid w:val="00403DC2"/>
    <w:rsid w:val="004126F2"/>
    <w:rsid w:val="00416D6A"/>
    <w:rsid w:val="00430CBC"/>
    <w:rsid w:val="00430D1E"/>
    <w:rsid w:val="00432B2B"/>
    <w:rsid w:val="00436114"/>
    <w:rsid w:val="00437466"/>
    <w:rsid w:val="00440945"/>
    <w:rsid w:val="004521E9"/>
    <w:rsid w:val="004614E6"/>
    <w:rsid w:val="00462310"/>
    <w:rsid w:val="00466317"/>
    <w:rsid w:val="00467E9D"/>
    <w:rsid w:val="004703BB"/>
    <w:rsid w:val="004778F8"/>
    <w:rsid w:val="00477CC0"/>
    <w:rsid w:val="00484DE9"/>
    <w:rsid w:val="00485C02"/>
    <w:rsid w:val="0049216F"/>
    <w:rsid w:val="00497DE7"/>
    <w:rsid w:val="004A3100"/>
    <w:rsid w:val="004A7941"/>
    <w:rsid w:val="004B2066"/>
    <w:rsid w:val="004B572B"/>
    <w:rsid w:val="004B743E"/>
    <w:rsid w:val="004C3F8D"/>
    <w:rsid w:val="004D08E4"/>
    <w:rsid w:val="004D1714"/>
    <w:rsid w:val="004D399E"/>
    <w:rsid w:val="004D3DB1"/>
    <w:rsid w:val="004E2471"/>
    <w:rsid w:val="004E2E23"/>
    <w:rsid w:val="004F11B2"/>
    <w:rsid w:val="004F3EAA"/>
    <w:rsid w:val="004F704B"/>
    <w:rsid w:val="005035A4"/>
    <w:rsid w:val="00521F7C"/>
    <w:rsid w:val="005302C5"/>
    <w:rsid w:val="00530DF2"/>
    <w:rsid w:val="00532DEA"/>
    <w:rsid w:val="00537FE8"/>
    <w:rsid w:val="00540B6F"/>
    <w:rsid w:val="00543B3E"/>
    <w:rsid w:val="0054696D"/>
    <w:rsid w:val="005577E1"/>
    <w:rsid w:val="00561076"/>
    <w:rsid w:val="005848D9"/>
    <w:rsid w:val="00594F50"/>
    <w:rsid w:val="005A0B98"/>
    <w:rsid w:val="005A2576"/>
    <w:rsid w:val="005A2DC5"/>
    <w:rsid w:val="005B1143"/>
    <w:rsid w:val="005B11E8"/>
    <w:rsid w:val="005B4848"/>
    <w:rsid w:val="005C1268"/>
    <w:rsid w:val="005C2F18"/>
    <w:rsid w:val="005D3E9B"/>
    <w:rsid w:val="005E4446"/>
    <w:rsid w:val="005F4015"/>
    <w:rsid w:val="005F5B39"/>
    <w:rsid w:val="005F66E3"/>
    <w:rsid w:val="005F68A7"/>
    <w:rsid w:val="006007EC"/>
    <w:rsid w:val="00600CAE"/>
    <w:rsid w:val="006044C8"/>
    <w:rsid w:val="0060537B"/>
    <w:rsid w:val="00612A9A"/>
    <w:rsid w:val="00621320"/>
    <w:rsid w:val="006230E7"/>
    <w:rsid w:val="00623735"/>
    <w:rsid w:val="00635BBE"/>
    <w:rsid w:val="00636DED"/>
    <w:rsid w:val="00640A73"/>
    <w:rsid w:val="0064167E"/>
    <w:rsid w:val="006416B4"/>
    <w:rsid w:val="00650497"/>
    <w:rsid w:val="00651808"/>
    <w:rsid w:val="006525AB"/>
    <w:rsid w:val="0065301E"/>
    <w:rsid w:val="0066419E"/>
    <w:rsid w:val="00674958"/>
    <w:rsid w:val="006752E2"/>
    <w:rsid w:val="0067546E"/>
    <w:rsid w:val="00682CE3"/>
    <w:rsid w:val="00685FB9"/>
    <w:rsid w:val="00690A54"/>
    <w:rsid w:val="00691250"/>
    <w:rsid w:val="00691A8E"/>
    <w:rsid w:val="00697F30"/>
    <w:rsid w:val="006A37EE"/>
    <w:rsid w:val="006B4563"/>
    <w:rsid w:val="006C4A82"/>
    <w:rsid w:val="006D04C4"/>
    <w:rsid w:val="006D093F"/>
    <w:rsid w:val="006F2BD3"/>
    <w:rsid w:val="0070145A"/>
    <w:rsid w:val="00706610"/>
    <w:rsid w:val="00710AED"/>
    <w:rsid w:val="007118D7"/>
    <w:rsid w:val="00722BB1"/>
    <w:rsid w:val="00724DD5"/>
    <w:rsid w:val="007317AF"/>
    <w:rsid w:val="007376A2"/>
    <w:rsid w:val="0074155E"/>
    <w:rsid w:val="00744669"/>
    <w:rsid w:val="00750939"/>
    <w:rsid w:val="00751AB1"/>
    <w:rsid w:val="007560D3"/>
    <w:rsid w:val="00757A03"/>
    <w:rsid w:val="007638CE"/>
    <w:rsid w:val="00773D01"/>
    <w:rsid w:val="00777A2A"/>
    <w:rsid w:val="007819CA"/>
    <w:rsid w:val="00794B85"/>
    <w:rsid w:val="007A7F05"/>
    <w:rsid w:val="007B262B"/>
    <w:rsid w:val="007B27C7"/>
    <w:rsid w:val="007C5F24"/>
    <w:rsid w:val="007C6ECE"/>
    <w:rsid w:val="007D2068"/>
    <w:rsid w:val="007D795C"/>
    <w:rsid w:val="007E19E6"/>
    <w:rsid w:val="007E45F9"/>
    <w:rsid w:val="007F0541"/>
    <w:rsid w:val="007F752E"/>
    <w:rsid w:val="00802E38"/>
    <w:rsid w:val="00813314"/>
    <w:rsid w:val="00814E4A"/>
    <w:rsid w:val="00814FF2"/>
    <w:rsid w:val="00820F07"/>
    <w:rsid w:val="0082131A"/>
    <w:rsid w:val="00822FF2"/>
    <w:rsid w:val="0082354C"/>
    <w:rsid w:val="008253AB"/>
    <w:rsid w:val="00836B76"/>
    <w:rsid w:val="00841E0B"/>
    <w:rsid w:val="00843395"/>
    <w:rsid w:val="00851B7C"/>
    <w:rsid w:val="008623B5"/>
    <w:rsid w:val="0086482F"/>
    <w:rsid w:val="00866949"/>
    <w:rsid w:val="00867FDB"/>
    <w:rsid w:val="0087611E"/>
    <w:rsid w:val="008834CE"/>
    <w:rsid w:val="00883C2E"/>
    <w:rsid w:val="00884E29"/>
    <w:rsid w:val="008966B8"/>
    <w:rsid w:val="00896E12"/>
    <w:rsid w:val="00897962"/>
    <w:rsid w:val="00897B6C"/>
    <w:rsid w:val="008A6BB4"/>
    <w:rsid w:val="008B42B8"/>
    <w:rsid w:val="008B51BF"/>
    <w:rsid w:val="008B5B28"/>
    <w:rsid w:val="008C0631"/>
    <w:rsid w:val="008D5747"/>
    <w:rsid w:val="008D5F90"/>
    <w:rsid w:val="008D717A"/>
    <w:rsid w:val="008E24DF"/>
    <w:rsid w:val="008E698B"/>
    <w:rsid w:val="008E6C7B"/>
    <w:rsid w:val="008F1F75"/>
    <w:rsid w:val="008F6180"/>
    <w:rsid w:val="00912C06"/>
    <w:rsid w:val="00912C0E"/>
    <w:rsid w:val="009147AF"/>
    <w:rsid w:val="00917BCF"/>
    <w:rsid w:val="00923645"/>
    <w:rsid w:val="00927E85"/>
    <w:rsid w:val="009321C8"/>
    <w:rsid w:val="00933287"/>
    <w:rsid w:val="00933289"/>
    <w:rsid w:val="009332A7"/>
    <w:rsid w:val="00934067"/>
    <w:rsid w:val="0093493F"/>
    <w:rsid w:val="009406F5"/>
    <w:rsid w:val="00940E40"/>
    <w:rsid w:val="00947150"/>
    <w:rsid w:val="00961891"/>
    <w:rsid w:val="00963F78"/>
    <w:rsid w:val="00965174"/>
    <w:rsid w:val="00967EE3"/>
    <w:rsid w:val="00972BF9"/>
    <w:rsid w:val="00974952"/>
    <w:rsid w:val="00994114"/>
    <w:rsid w:val="009A0B91"/>
    <w:rsid w:val="009B1B70"/>
    <w:rsid w:val="009B4B6C"/>
    <w:rsid w:val="009B53DE"/>
    <w:rsid w:val="009B63CD"/>
    <w:rsid w:val="009B6AD8"/>
    <w:rsid w:val="009B6CB8"/>
    <w:rsid w:val="009B7EE9"/>
    <w:rsid w:val="009C1AC4"/>
    <w:rsid w:val="009C2DEB"/>
    <w:rsid w:val="009C45ED"/>
    <w:rsid w:val="009C4877"/>
    <w:rsid w:val="009C5AA3"/>
    <w:rsid w:val="009D5F3E"/>
    <w:rsid w:val="009D6D2A"/>
    <w:rsid w:val="009E0C33"/>
    <w:rsid w:val="009E734B"/>
    <w:rsid w:val="009F3895"/>
    <w:rsid w:val="00A00D6E"/>
    <w:rsid w:val="00A02008"/>
    <w:rsid w:val="00A04EBD"/>
    <w:rsid w:val="00A06F0C"/>
    <w:rsid w:val="00A15D5A"/>
    <w:rsid w:val="00A23FBD"/>
    <w:rsid w:val="00A269A9"/>
    <w:rsid w:val="00A26C2B"/>
    <w:rsid w:val="00A3154E"/>
    <w:rsid w:val="00A34C03"/>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29C5"/>
    <w:rsid w:val="00A82E7D"/>
    <w:rsid w:val="00A84D59"/>
    <w:rsid w:val="00A854B4"/>
    <w:rsid w:val="00A914ED"/>
    <w:rsid w:val="00A94568"/>
    <w:rsid w:val="00A95BA9"/>
    <w:rsid w:val="00A96210"/>
    <w:rsid w:val="00A97925"/>
    <w:rsid w:val="00AA2FA1"/>
    <w:rsid w:val="00AB3C29"/>
    <w:rsid w:val="00AC5DAD"/>
    <w:rsid w:val="00AD0093"/>
    <w:rsid w:val="00AD27BE"/>
    <w:rsid w:val="00AD6458"/>
    <w:rsid w:val="00AD64FD"/>
    <w:rsid w:val="00AE5296"/>
    <w:rsid w:val="00AE7CD1"/>
    <w:rsid w:val="00AF397D"/>
    <w:rsid w:val="00B003E8"/>
    <w:rsid w:val="00B01372"/>
    <w:rsid w:val="00B02E90"/>
    <w:rsid w:val="00B173D5"/>
    <w:rsid w:val="00B17E19"/>
    <w:rsid w:val="00B2054D"/>
    <w:rsid w:val="00B20720"/>
    <w:rsid w:val="00B22AA9"/>
    <w:rsid w:val="00B26F66"/>
    <w:rsid w:val="00B3228C"/>
    <w:rsid w:val="00B33ACD"/>
    <w:rsid w:val="00B36650"/>
    <w:rsid w:val="00B422CE"/>
    <w:rsid w:val="00B43EE8"/>
    <w:rsid w:val="00B46DF7"/>
    <w:rsid w:val="00B61ACE"/>
    <w:rsid w:val="00B664FF"/>
    <w:rsid w:val="00B73BCB"/>
    <w:rsid w:val="00B83282"/>
    <w:rsid w:val="00B8535B"/>
    <w:rsid w:val="00BA149B"/>
    <w:rsid w:val="00BA3444"/>
    <w:rsid w:val="00BA5F9E"/>
    <w:rsid w:val="00BA6AA1"/>
    <w:rsid w:val="00BA735E"/>
    <w:rsid w:val="00BB2E46"/>
    <w:rsid w:val="00BC2E4D"/>
    <w:rsid w:val="00BD15CC"/>
    <w:rsid w:val="00BD3F9F"/>
    <w:rsid w:val="00BE092C"/>
    <w:rsid w:val="00BF62AE"/>
    <w:rsid w:val="00C16264"/>
    <w:rsid w:val="00C254CE"/>
    <w:rsid w:val="00C2761F"/>
    <w:rsid w:val="00C3650A"/>
    <w:rsid w:val="00C40079"/>
    <w:rsid w:val="00C44975"/>
    <w:rsid w:val="00C51A23"/>
    <w:rsid w:val="00C5671E"/>
    <w:rsid w:val="00C616A7"/>
    <w:rsid w:val="00C618CB"/>
    <w:rsid w:val="00C632E4"/>
    <w:rsid w:val="00C63B4B"/>
    <w:rsid w:val="00C678F6"/>
    <w:rsid w:val="00C84C67"/>
    <w:rsid w:val="00C87C8A"/>
    <w:rsid w:val="00C91765"/>
    <w:rsid w:val="00C922FE"/>
    <w:rsid w:val="00C92EAD"/>
    <w:rsid w:val="00CB1D64"/>
    <w:rsid w:val="00CC1A6C"/>
    <w:rsid w:val="00CC6FF2"/>
    <w:rsid w:val="00CC71C2"/>
    <w:rsid w:val="00CC7BA4"/>
    <w:rsid w:val="00CD0D1D"/>
    <w:rsid w:val="00CD4F79"/>
    <w:rsid w:val="00CD5759"/>
    <w:rsid w:val="00CE10AC"/>
    <w:rsid w:val="00CE5BA8"/>
    <w:rsid w:val="00CE62B1"/>
    <w:rsid w:val="00CE6705"/>
    <w:rsid w:val="00CE74FB"/>
    <w:rsid w:val="00CF342A"/>
    <w:rsid w:val="00CF4978"/>
    <w:rsid w:val="00CF6381"/>
    <w:rsid w:val="00D01A09"/>
    <w:rsid w:val="00D04CF4"/>
    <w:rsid w:val="00D12219"/>
    <w:rsid w:val="00D16A43"/>
    <w:rsid w:val="00D225E9"/>
    <w:rsid w:val="00D30B86"/>
    <w:rsid w:val="00D32FA1"/>
    <w:rsid w:val="00D3357C"/>
    <w:rsid w:val="00D443B6"/>
    <w:rsid w:val="00D5039F"/>
    <w:rsid w:val="00D524CF"/>
    <w:rsid w:val="00D5744C"/>
    <w:rsid w:val="00D7189F"/>
    <w:rsid w:val="00D73E7F"/>
    <w:rsid w:val="00D74733"/>
    <w:rsid w:val="00D753B3"/>
    <w:rsid w:val="00D75EAB"/>
    <w:rsid w:val="00D80624"/>
    <w:rsid w:val="00D90C48"/>
    <w:rsid w:val="00D9211D"/>
    <w:rsid w:val="00D92C58"/>
    <w:rsid w:val="00DA287C"/>
    <w:rsid w:val="00DA3F63"/>
    <w:rsid w:val="00DA4BE8"/>
    <w:rsid w:val="00DA6486"/>
    <w:rsid w:val="00DA7563"/>
    <w:rsid w:val="00DB1C38"/>
    <w:rsid w:val="00DB2CEC"/>
    <w:rsid w:val="00DB55CF"/>
    <w:rsid w:val="00DB675B"/>
    <w:rsid w:val="00DC3F88"/>
    <w:rsid w:val="00DC44AD"/>
    <w:rsid w:val="00DD13CD"/>
    <w:rsid w:val="00DD2841"/>
    <w:rsid w:val="00DD540E"/>
    <w:rsid w:val="00DE28D6"/>
    <w:rsid w:val="00DE3424"/>
    <w:rsid w:val="00DE5B38"/>
    <w:rsid w:val="00DE62FC"/>
    <w:rsid w:val="00DF14A2"/>
    <w:rsid w:val="00DF1E16"/>
    <w:rsid w:val="00DF2EDD"/>
    <w:rsid w:val="00DF7282"/>
    <w:rsid w:val="00DF7CC8"/>
    <w:rsid w:val="00E03EBA"/>
    <w:rsid w:val="00E13B38"/>
    <w:rsid w:val="00E31342"/>
    <w:rsid w:val="00E34E9B"/>
    <w:rsid w:val="00E51BF0"/>
    <w:rsid w:val="00E56802"/>
    <w:rsid w:val="00E608B6"/>
    <w:rsid w:val="00E6130C"/>
    <w:rsid w:val="00E65D76"/>
    <w:rsid w:val="00E712FA"/>
    <w:rsid w:val="00E81538"/>
    <w:rsid w:val="00E826A9"/>
    <w:rsid w:val="00E826F9"/>
    <w:rsid w:val="00E855C9"/>
    <w:rsid w:val="00E96717"/>
    <w:rsid w:val="00EA1D9B"/>
    <w:rsid w:val="00EA24EE"/>
    <w:rsid w:val="00EA3098"/>
    <w:rsid w:val="00EB015F"/>
    <w:rsid w:val="00ED221C"/>
    <w:rsid w:val="00ED42A9"/>
    <w:rsid w:val="00ED6FFE"/>
    <w:rsid w:val="00EE02E9"/>
    <w:rsid w:val="00EE3C63"/>
    <w:rsid w:val="00EE6743"/>
    <w:rsid w:val="00EE6C2D"/>
    <w:rsid w:val="00EF1E97"/>
    <w:rsid w:val="00F1365F"/>
    <w:rsid w:val="00F23083"/>
    <w:rsid w:val="00F33A06"/>
    <w:rsid w:val="00F340EE"/>
    <w:rsid w:val="00F41FE5"/>
    <w:rsid w:val="00F44C96"/>
    <w:rsid w:val="00F53DC4"/>
    <w:rsid w:val="00F54DE4"/>
    <w:rsid w:val="00F56DDA"/>
    <w:rsid w:val="00F61177"/>
    <w:rsid w:val="00F82947"/>
    <w:rsid w:val="00F907C6"/>
    <w:rsid w:val="00F912C9"/>
    <w:rsid w:val="00F9490E"/>
    <w:rsid w:val="00FA2466"/>
    <w:rsid w:val="00FA3778"/>
    <w:rsid w:val="00FC1CD6"/>
    <w:rsid w:val="00FD2CF9"/>
    <w:rsid w:val="00FD7930"/>
    <w:rsid w:val="00FE0CC7"/>
    <w:rsid w:val="00FE1975"/>
    <w:rsid w:val="00FE46D2"/>
    <w:rsid w:val="00FE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2030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568A-CE47-42ED-8302-49354E6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4</cp:revision>
  <cp:lastPrinted>2019-04-16T14:55:00Z</cp:lastPrinted>
  <dcterms:created xsi:type="dcterms:W3CDTF">2019-05-07T16:14:00Z</dcterms:created>
  <dcterms:modified xsi:type="dcterms:W3CDTF">2019-05-08T09:11:00Z</dcterms:modified>
</cp:coreProperties>
</file>